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cs="Arial" w:eastAsiaTheme="minorEastAsia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</w:t>
      </w:r>
      <w:bookmarkStart w:id="0" w:name="_Hlk41145946"/>
      <w:r>
        <w:rPr>
          <w:rFonts w:hint="eastAsia" w:ascii="Arial" w:hAnsi="Arial" w:cs="Arial"/>
          <w:b/>
          <w:lang w:val="en-US" w:eastAsia="zh-CN"/>
        </w:rPr>
        <w:t>12bis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cs="Arial"/>
          <w:b/>
          <w:bCs/>
          <w:lang w:val="en-US" w:eastAsia="zh-CN"/>
        </w:rPr>
        <w:t>415007</w:t>
      </w:r>
    </w:p>
    <w:p>
      <w:pPr>
        <w:pStyle w:val="16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green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Hefei, Anhui, China, 14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October, 2024</w:t>
      </w:r>
    </w:p>
    <w:p>
      <w:pPr>
        <w:pStyle w:val="16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9"/>
        <w:rPr>
          <w:b/>
          <w:sz w:val="22"/>
        </w:rPr>
      </w:pPr>
    </w:p>
    <w:p>
      <w:pPr>
        <w:tabs>
          <w:tab w:val="left" w:pos="1765"/>
          <w:tab w:val="center" w:pos="4557"/>
        </w:tabs>
        <w:rPr>
          <w:rFonts w:hint="default" w:eastAsiaTheme="minorEastAsia"/>
          <w:b/>
          <w:sz w:val="22"/>
          <w:lang w:val="en-US" w:eastAsia="zh-CN"/>
        </w:rPr>
      </w:pPr>
      <w:r>
        <w:rPr>
          <w:b/>
          <w:sz w:val="22"/>
        </w:rPr>
        <w:t>Agenda Item:</w:t>
      </w:r>
      <w:r>
        <w:rPr>
          <w:b/>
          <w:sz w:val="22"/>
          <w:highlight w:val="none"/>
        </w:rPr>
        <w:tab/>
      </w:r>
      <w:r>
        <w:rPr>
          <w:rFonts w:hint="eastAsia"/>
          <w:sz w:val="22"/>
          <w:highlight w:val="none"/>
          <w:lang w:val="en-US" w:eastAsia="zh-CN"/>
        </w:rPr>
        <w:t>6.23.4.1</w:t>
      </w:r>
    </w:p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>
      <w:pPr>
        <w:rPr>
          <w:rFonts w:hint="default"/>
          <w:sz w:val="22"/>
          <w:lang w:val="en-US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_Hlk41145953"/>
      <w:bookmarkStart w:id="3" w:name="OLE_LINK8"/>
      <w:bookmarkStart w:id="4" w:name="OLE_LINK7"/>
      <w:r>
        <w:rPr>
          <w:sz w:val="22"/>
        </w:rPr>
        <w:t xml:space="preserve"> </w:t>
      </w:r>
      <w:bookmarkEnd w:id="2"/>
      <w:r>
        <w:rPr>
          <w:rFonts w:hint="eastAsia"/>
          <w:sz w:val="22"/>
        </w:rPr>
        <w:t>(NR_LPWUS-Core) Simulation assumption and results for LP-WUR</w:t>
      </w:r>
    </w:p>
    <w:bookmarkEnd w:id="3"/>
    <w:bookmarkEnd w:id="4"/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spacing w:before="60"/>
        <w:jc w:val="both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last meeting, RAN4 provide the initial RRM simulation assumption. The WF has been approved in [1]. In this contribution, we give our simulation results.</w:t>
      </w:r>
    </w:p>
    <w:p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5" w:name="OLE_LINK1"/>
      <w:bookmarkStart w:id="6" w:name="OLE_LINK2"/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>Discussion</w:t>
      </w:r>
      <w:bookmarkStart w:id="7" w:name="_Hlk70326378"/>
    </w:p>
    <w:p>
      <w:pPr>
        <w:spacing w:after="120"/>
        <w:jc w:val="both"/>
        <w:rPr>
          <w:rFonts w:hint="eastAsia"/>
          <w:b/>
          <w:i/>
          <w:iCs/>
          <w:color w:val="000000" w:themeColor="text1"/>
          <w:sz w:val="20"/>
          <w:szCs w:val="2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i/>
          <w:iCs/>
          <w:color w:val="000000" w:themeColor="text1"/>
          <w:sz w:val="20"/>
          <w:szCs w:val="20"/>
          <w:u w:val="single"/>
          <w:lang w:val="en-US" w:eastAsia="zh-CN"/>
          <w14:textFill>
            <w14:solidFill>
              <w14:schemeClr w14:val="tx1"/>
            </w14:solidFill>
          </w14:textFill>
        </w:rPr>
        <w:t>Simulation result</w:t>
      </w:r>
    </w:p>
    <w:p>
      <w:pPr>
        <w:spacing w:after="120"/>
        <w:jc w:val="both"/>
        <w:rPr>
          <w:rFonts w:eastAsia="宋体"/>
          <w:sz w:val="20"/>
          <w:szCs w:val="20"/>
          <w:lang w:val="en-GB"/>
        </w:rPr>
      </w:pPr>
      <w:r>
        <w:rPr>
          <w:rFonts w:eastAsia="宋体"/>
          <w:sz w:val="20"/>
          <w:szCs w:val="20"/>
          <w:lang w:val="en-GB"/>
        </w:rPr>
        <w:t>Our initial simulation results are provided below</w:t>
      </w:r>
      <w:r>
        <w:rPr>
          <w:rFonts w:hint="eastAsia" w:eastAsia="宋体"/>
          <w:sz w:val="20"/>
          <w:szCs w:val="20"/>
          <w:lang w:val="en-US" w:eastAsia="zh-CN"/>
        </w:rPr>
        <w:t xml:space="preserve"> by using the simulation assumption in Annex.1</w:t>
      </w:r>
      <w:r>
        <w:rPr>
          <w:rFonts w:eastAsia="宋体"/>
          <w:sz w:val="20"/>
          <w:szCs w:val="20"/>
          <w:lang w:val="en-GB"/>
        </w:rPr>
        <w:t xml:space="preserve">. </w:t>
      </w:r>
    </w:p>
    <w:p>
      <w:pPr>
        <w:jc w:val="center"/>
        <w:rPr>
          <w:rFonts w:hint="default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Table 1. AWGN, Es/IoT = -3, SNR of cell 2 is 9 dB lower compared with cell 2, 2 OFDM symbol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333"/>
        <w:gridCol w:w="1333"/>
        <w:gridCol w:w="1333"/>
        <w:gridCol w:w="1333"/>
        <w:gridCol w:w="1333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OOK-1 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OOK-1 RSRQ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RSRQ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RSRQ error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 sample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0.35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0.23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0.32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 sample 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0.31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0.35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0.19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0.29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 sample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0.16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0.33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0.16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0.15</w:t>
            </w:r>
          </w:p>
        </w:tc>
      </w:tr>
    </w:tbl>
    <w:p>
      <w:pPr>
        <w:rPr>
          <w:rFonts w:hint="default"/>
          <w:b w:val="0"/>
          <w:bCs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Table 2. AWGN, Es/IoT = -3, SNR of cell 2 is 9 dB lower compared with cell 2, 4 OFDM symbol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333"/>
        <w:gridCol w:w="1333"/>
        <w:gridCol w:w="1333"/>
        <w:gridCol w:w="1333"/>
        <w:gridCol w:w="1333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OOK-1 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OOK-1 RSRQ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RSRQ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RSRQ error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 sample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0.15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0.31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0.21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0.29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 sample 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0.23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0.14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 sample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0.21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0.21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0.13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0.19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0.11</w:t>
            </w:r>
          </w:p>
        </w:tc>
      </w:tr>
    </w:tbl>
    <w:p>
      <w:pPr>
        <w:rPr>
          <w:rFonts w:hint="eastAsia"/>
          <w:b w:val="0"/>
          <w:bCs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Table 3. TDL-C 300ns, Es/IoT = -3, SNR of cell 2 is 9 dB lower compared with cell 2, 2 OFDM symbol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333"/>
        <w:gridCol w:w="1333"/>
        <w:gridCol w:w="1333"/>
        <w:gridCol w:w="1333"/>
        <w:gridCol w:w="1333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OOK-1 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OOK-1 RSRQ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RSRQ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RSRQ error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 sample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0.99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3.76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 sample 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0.84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2.67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1.04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2.86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 sample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0.74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2.17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0.79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2.82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1.65</w:t>
            </w:r>
          </w:p>
        </w:tc>
      </w:tr>
    </w:tbl>
    <w:p>
      <w:pPr>
        <w:rPr>
          <w:rFonts w:hint="default"/>
          <w:b w:val="0"/>
          <w:bCs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default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>Table 4. TDL-C 300ns, Es/IoT = -3, SNR of cell 2 is 9 dB lower compared with cell 2, 4 OFDM symbol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333"/>
        <w:gridCol w:w="1333"/>
        <w:gridCol w:w="1333"/>
        <w:gridCol w:w="1333"/>
        <w:gridCol w:w="1333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OOK-1 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OOK-1 RSRQ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M=2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RSRQ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RSRP error</w:t>
            </w:r>
          </w:p>
        </w:tc>
        <w:tc>
          <w:tcPr>
            <w:tcW w:w="1333" w:type="dxa"/>
            <w:vAlign w:val="top"/>
          </w:tcPr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OOK-4 </w:t>
            </w:r>
          </w:p>
          <w:p>
            <w:pP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M=4</w:t>
            </w:r>
          </w:p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RSRQ error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 sample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2.76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0.98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3.02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1.22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3.34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 sample 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2.37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0.83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2.72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1.12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2.93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 sample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0.76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2.21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0.78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2.51</w:t>
            </w:r>
          </w:p>
        </w:tc>
        <w:tc>
          <w:tcPr>
            <w:tcW w:w="1333" w:type="dxa"/>
          </w:tcPr>
          <w:p>
            <w:pPr>
              <w:rPr>
                <w:rFonts w:hint="default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1.12</w:t>
            </w:r>
          </w:p>
        </w:tc>
      </w:tr>
    </w:tbl>
    <w:p>
      <w:pPr>
        <w:spacing w:after="120"/>
        <w:jc w:val="both"/>
        <w:rPr>
          <w:rFonts w:eastAsia="宋体"/>
          <w:sz w:val="20"/>
          <w:szCs w:val="20"/>
          <w:lang w:val="en-GB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Observation 1: Limited or no RRM accuracy gain is achieved by extending the LP-SS overhead from 2 OFDM symbol to 4 OFDM symbol.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Observation 2: Accuracy gain is achieved by using more measurement samples.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Observation 3: Accuracy performance in TDL-C 300ns is much worse than that in AWGN.</w:t>
      </w:r>
    </w:p>
    <w:p>
      <w:pPr>
        <w:spacing w:after="120"/>
        <w:jc w:val="both"/>
        <w:rPr>
          <w:rFonts w:hint="eastAsia" w:eastAsia="等线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Considering the measurement results of LP-SS may be used to derive the final measurement result of serving cell, and/or decide the MR relaxation or relaxation fallback, we think the measurement accuracy of LP-SS is rather important to guarantee the network performance. We prefer to take the legacy measurement accuracy (TS 38.133 Clause 10.1.2.1.1) for Connected Mode as baseline for both OOK-based receiver and OFDM-based receiver, w</w:t>
      </w:r>
      <w:r>
        <w:rPr>
          <w:rFonts w:hint="eastAsia" w:eastAsia="等线"/>
          <w:sz w:val="20"/>
          <w:szCs w:val="20"/>
          <w:lang w:val="en-US" w:eastAsia="zh-CN"/>
        </w:rPr>
        <w:t>hich are</w:t>
      </w:r>
      <w:r>
        <w:rPr>
          <w:rFonts w:eastAsia="等线"/>
          <w:sz w:val="20"/>
          <w:szCs w:val="20"/>
          <w:lang w:val="en-GB"/>
        </w:rPr>
        <w:t xml:space="preserve"> </w:t>
      </w:r>
      <w:r>
        <w:rPr>
          <w:rFonts w:eastAsia="宋体"/>
          <w:sz w:val="20"/>
          <w:szCs w:val="20"/>
          <w:lang w:val="en-GB"/>
        </w:rPr>
        <w:t>±</w:t>
      </w:r>
      <w:r>
        <w:rPr>
          <w:rFonts w:hint="eastAsia" w:eastAsia="宋体"/>
          <w:sz w:val="20"/>
          <w:szCs w:val="20"/>
          <w:lang w:val="en-US" w:eastAsia="zh-CN"/>
        </w:rPr>
        <w:t>4.5</w:t>
      </w:r>
      <w:r>
        <w:rPr>
          <w:rFonts w:eastAsia="宋体"/>
          <w:sz w:val="20"/>
          <w:szCs w:val="20"/>
          <w:lang w:val="en-GB"/>
        </w:rPr>
        <w:t xml:space="preserve">dB </w:t>
      </w:r>
      <w:r>
        <w:rPr>
          <w:rFonts w:eastAsia="等线"/>
          <w:sz w:val="20"/>
          <w:szCs w:val="20"/>
          <w:lang w:val="en-GB"/>
        </w:rPr>
        <w:t>RSRP measurement accuracy and ±</w:t>
      </w:r>
      <w:r>
        <w:rPr>
          <w:rFonts w:hint="eastAsia" w:eastAsia="等线"/>
          <w:sz w:val="20"/>
          <w:szCs w:val="20"/>
          <w:lang w:val="en-US" w:eastAsia="zh-CN"/>
        </w:rPr>
        <w:t>2.5</w:t>
      </w:r>
      <w:r>
        <w:rPr>
          <w:rFonts w:eastAsia="等线"/>
          <w:sz w:val="20"/>
          <w:szCs w:val="20"/>
          <w:lang w:val="en-GB"/>
        </w:rPr>
        <w:t xml:space="preserve">dB RSRQ measurement accuracy </w:t>
      </w:r>
      <w:r>
        <w:rPr>
          <w:rFonts w:hint="eastAsia" w:eastAsia="等线"/>
          <w:sz w:val="20"/>
          <w:szCs w:val="20"/>
          <w:lang w:val="en-US" w:eastAsia="zh-CN"/>
        </w:rPr>
        <w:t xml:space="preserve">including </w:t>
      </w:r>
      <w:r>
        <w:rPr>
          <w:rFonts w:eastAsia="等线"/>
          <w:sz w:val="20"/>
          <w:szCs w:val="20"/>
          <w:lang w:val="en-GB"/>
        </w:rPr>
        <w:t xml:space="preserve">1.5dB margin </w:t>
      </w:r>
      <w:r>
        <w:rPr>
          <w:rFonts w:hint="eastAsia" w:eastAsia="等线"/>
          <w:sz w:val="20"/>
          <w:szCs w:val="20"/>
          <w:lang w:val="en-US" w:eastAsia="zh-CN"/>
        </w:rPr>
        <w:t>assumption.</w:t>
      </w:r>
    </w:p>
    <w:p>
      <w:pPr>
        <w:spacing w:after="120"/>
        <w:jc w:val="both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等线"/>
          <w:sz w:val="20"/>
          <w:szCs w:val="20"/>
          <w:lang w:val="en-US" w:eastAsia="zh-CN"/>
        </w:rPr>
        <w:t>However, based on our simulation results of OOK-based receiver, it is hard to achieve RSRQ measurement accuracy in TDLC propagation condition, even if 5 samples are used. The reason behind is the limited capability of OOK signal and LP-WUR. In this situation, we are fine to consider 1Rx Redcap UE measurement accuracy as the baseline for OOK-based receiver, which are</w:t>
      </w:r>
      <w:r>
        <w:rPr>
          <w:rFonts w:eastAsia="等线"/>
          <w:sz w:val="20"/>
          <w:szCs w:val="20"/>
          <w:lang w:val="en-GB"/>
        </w:rPr>
        <w:t xml:space="preserve"> </w:t>
      </w:r>
      <w:r>
        <w:rPr>
          <w:rFonts w:eastAsia="宋体"/>
          <w:sz w:val="20"/>
          <w:szCs w:val="20"/>
          <w:lang w:val="en-GB"/>
        </w:rPr>
        <w:t>±</w:t>
      </w:r>
      <w:r>
        <w:rPr>
          <w:rFonts w:hint="eastAsia" w:eastAsia="宋体"/>
          <w:sz w:val="20"/>
          <w:szCs w:val="20"/>
          <w:lang w:val="en-US" w:eastAsia="zh-CN"/>
        </w:rPr>
        <w:t>5.5</w:t>
      </w:r>
      <w:r>
        <w:rPr>
          <w:rFonts w:eastAsia="宋体"/>
          <w:sz w:val="20"/>
          <w:szCs w:val="20"/>
          <w:lang w:val="en-GB"/>
        </w:rPr>
        <w:t xml:space="preserve">dB </w:t>
      </w:r>
      <w:r>
        <w:rPr>
          <w:rFonts w:eastAsia="等线"/>
          <w:sz w:val="20"/>
          <w:szCs w:val="20"/>
          <w:lang w:val="en-GB"/>
        </w:rPr>
        <w:t>RSRP measurement accuracy and ±</w:t>
      </w:r>
      <w:r>
        <w:rPr>
          <w:rFonts w:hint="eastAsia" w:eastAsia="等线"/>
          <w:sz w:val="20"/>
          <w:szCs w:val="20"/>
          <w:lang w:val="en-US" w:eastAsia="zh-CN"/>
        </w:rPr>
        <w:t>3.5</w:t>
      </w:r>
      <w:r>
        <w:rPr>
          <w:rFonts w:eastAsia="等线"/>
          <w:sz w:val="20"/>
          <w:szCs w:val="20"/>
          <w:lang w:val="en-GB"/>
        </w:rPr>
        <w:t xml:space="preserve">dB RSRQ measurement accuracy </w:t>
      </w:r>
      <w:r>
        <w:rPr>
          <w:rFonts w:hint="eastAsia" w:eastAsia="等线"/>
          <w:sz w:val="20"/>
          <w:szCs w:val="20"/>
          <w:lang w:val="en-US" w:eastAsia="zh-CN"/>
        </w:rPr>
        <w:t>including</w:t>
      </w:r>
      <w:r>
        <w:rPr>
          <w:rFonts w:eastAsia="等线"/>
          <w:sz w:val="20"/>
          <w:szCs w:val="20"/>
          <w:lang w:val="en-GB"/>
        </w:rPr>
        <w:t xml:space="preserve"> 1.5dB margin </w:t>
      </w:r>
      <w:r>
        <w:rPr>
          <w:rFonts w:hint="eastAsia" w:eastAsia="等线"/>
          <w:sz w:val="20"/>
          <w:szCs w:val="20"/>
          <w:lang w:val="en-US" w:eastAsia="zh-CN"/>
        </w:rPr>
        <w:t>assumption</w:t>
      </w:r>
      <w:r>
        <w:rPr>
          <w:rFonts w:eastAsia="等线"/>
          <w:sz w:val="20"/>
          <w:szCs w:val="20"/>
          <w:lang w:val="en-GB"/>
        </w:rPr>
        <w:t xml:space="preserve">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1: Take the legacy measurement accuracy (TS 38.133 Clause 10.1.2.1.1) for Connected Mode as baseline for OFDM-based receiver.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 Take the measurement accuracy of 1Rx Redcap UE as target for OOK-based receiver.</w:t>
      </w:r>
    </w:p>
    <w:p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hint="default" w:eastAsia="等线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For OOK-based receiver, to meet the target measurement accuracy</w:t>
      </w:r>
      <w:r>
        <w:rPr>
          <w:rFonts w:eastAsia="宋体"/>
          <w:sz w:val="20"/>
          <w:szCs w:val="20"/>
          <w:lang w:val="en-GB"/>
        </w:rPr>
        <w:t>,</w:t>
      </w:r>
      <w:r>
        <w:rPr>
          <w:rFonts w:hint="eastAsia" w:eastAsia="宋体"/>
          <w:sz w:val="20"/>
          <w:szCs w:val="20"/>
          <w:lang w:val="en-US" w:eastAsia="zh-CN"/>
        </w:rPr>
        <w:t xml:space="preserve"> under TDL-C300 propagation condition, 3 samples are needed.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Observation 4: For OOK-based receiver, to meet the target measurement accuracy, 3 samples are needed.</w:t>
      </w:r>
    </w:p>
    <w:p>
      <w:pPr>
        <w:rPr>
          <w:rFonts w:hint="eastAsia"/>
          <w:b/>
          <w:i/>
          <w:iCs/>
          <w:color w:val="000000" w:themeColor="text1"/>
          <w:sz w:val="20"/>
          <w:szCs w:val="20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bookmarkEnd w:id="7"/>
    <w:p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>
      <w:pPr>
        <w:spacing w:before="60"/>
        <w:rPr>
          <w:sz w:val="20"/>
          <w:szCs w:val="20"/>
        </w:rPr>
      </w:pPr>
      <w:r>
        <w:rPr>
          <w:sz w:val="20"/>
          <w:szCs w:val="20"/>
        </w:rPr>
        <w:t>Based on the discussion above, the following</w:t>
      </w:r>
      <w:r>
        <w:rPr>
          <w:rFonts w:hint="eastAsia"/>
          <w:sz w:val="20"/>
          <w:szCs w:val="20"/>
          <w:lang w:val="en-US" w:eastAsia="zh-CN"/>
        </w:rPr>
        <w:t xml:space="preserve"> observations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 xml:space="preserve">and proposals </w:t>
      </w:r>
      <w:r>
        <w:rPr>
          <w:sz w:val="20"/>
          <w:szCs w:val="20"/>
        </w:rPr>
        <w:t xml:space="preserve">are concluded. </w:t>
      </w:r>
      <w:bookmarkEnd w:id="5"/>
      <w:bookmarkEnd w:id="6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Observation 1: Limited or no RRM accuracy gain is achieved by extending the LP-SS overhead from 2 OFDM symbol to 4 OFDM symbol.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Observation 2: Accuracy gain is achieved by using more measurement samples.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Observation 3: Accuracy performance in TDL-C 300ns is much worse than that in AWGN.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1: Take the legacy measurement accuracy (TS 38.133 Clause 10.1.2.1.1) for Connected Mode as </w:t>
      </w:r>
      <w:bookmarkStart w:id="8" w:name="_GoBack"/>
      <w:bookmarkEnd w:id="8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baseline for OFDM-based receiver.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 Take the measurement accuracy of 1Rx Redcap UE as target for OOK-based receiver.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Observation 4: For OOK-based receiver, to meet the target measurement accuracy, 3 samples are needed.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</w:p>
    <w:p>
      <w:pPr>
        <w:pStyle w:val="2"/>
        <w:numPr>
          <w:ilvl w:val="0"/>
          <w:numId w:val="4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>
      <w:pPr>
        <w:numPr>
          <w:ilvl w:val="0"/>
          <w:numId w:val="5"/>
        </w:numPr>
        <w:rPr>
          <w:rFonts w:hint="default" w:ascii="Times New Roman" w:hAnsi="Times New Roman"/>
          <w:sz w:val="20"/>
          <w:lang w:val="en-US" w:eastAsia="zh-CN"/>
        </w:rPr>
      </w:pPr>
      <w:r>
        <w:rPr>
          <w:rFonts w:hint="eastAsia"/>
          <w:sz w:val="20"/>
          <w:szCs w:val="20"/>
          <w:lang w:val="en-GB"/>
        </w:rPr>
        <w:t>R4-2413899</w:t>
      </w:r>
      <w:r>
        <w:rPr>
          <w:rFonts w:hint="eastAsia"/>
          <w:sz w:val="20"/>
          <w:szCs w:val="20"/>
          <w:lang w:val="en-US" w:eastAsia="zh-CN"/>
        </w:rPr>
        <w:t>, WF for RRM core requirements for LP-WUSWUR, vivo</w:t>
      </w:r>
    </w:p>
    <w:p>
      <w:pPr>
        <w:numPr>
          <w:ilvl w:val="0"/>
          <w:numId w:val="0"/>
        </w:numPr>
        <w:rPr>
          <w:rFonts w:hint="default" w:ascii="Times New Roman" w:hAnsi="Times New Roman"/>
          <w:sz w:val="20"/>
          <w:lang w:val="en-US" w:eastAsia="zh-CN"/>
        </w:rPr>
      </w:pPr>
    </w:p>
    <w:p>
      <w:pPr>
        <w:pStyle w:val="2"/>
        <w:numPr>
          <w:ilvl w:val="0"/>
          <w:numId w:val="0"/>
        </w:numPr>
        <w:pBdr>
          <w:top w:val="single" w:color="auto" w:sz="12" w:space="3"/>
        </w:pBdr>
        <w:spacing w:before="120" w:after="60" w:line="240" w:lineRule="auto"/>
        <w:ind w:leftChars="0"/>
        <w:rPr>
          <w:rFonts w:hint="default" w:ascii="Times New Roman" w:hAnsi="Times New Roman"/>
          <w:b w:val="0"/>
          <w:bCs w:val="0"/>
          <w:kern w:val="0"/>
          <w:sz w:val="36"/>
          <w:szCs w:val="36"/>
          <w:lang w:val="en-US"/>
        </w:rPr>
      </w:pPr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>Annex.A</w:t>
      </w:r>
    </w:p>
    <w:p>
      <w:pPr>
        <w:rPr>
          <w:rFonts w:hint="eastAsia"/>
          <w:b/>
          <w:i/>
          <w:iCs/>
          <w:color w:val="000000" w:themeColor="text1"/>
          <w:sz w:val="20"/>
          <w:szCs w:val="2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i/>
          <w:iCs/>
          <w:color w:val="000000" w:themeColor="text1"/>
          <w:sz w:val="20"/>
          <w:szCs w:val="20"/>
          <w:u w:val="single"/>
          <w:lang w:val="en-US" w:eastAsia="zh-CN"/>
          <w14:textFill>
            <w14:solidFill>
              <w14:schemeClr w14:val="tx1"/>
            </w14:solidFill>
          </w14:textFill>
        </w:rPr>
        <w:t>Simulation assumption</w:t>
      </w:r>
    </w:p>
    <w:p>
      <w:pPr>
        <w:rPr>
          <w:rFonts w:hint="default"/>
          <w:b w:val="0"/>
          <w:bCs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i w:val="0"/>
          <w:iCs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Note: Highlight part is updated base on the WF of last meeting </w:t>
      </w:r>
    </w:p>
    <w:p>
      <w:pPr>
        <w:spacing w:before="120" w:after="120"/>
        <w:ind w:right="72"/>
        <w:jc w:val="center"/>
        <w:rPr>
          <w:rFonts w:ascii="Times New Roman" w:hAnsi="Times New Roman" w:eastAsia="宋体" w:cs="Times New Roman"/>
          <w:b/>
          <w:sz w:val="20"/>
          <w:szCs w:val="20"/>
          <w:lang w:val="en-US" w:eastAsia="en-US" w:bidi="ar-SA"/>
        </w:rPr>
      </w:pPr>
      <w:r>
        <w:rPr>
          <w:rFonts w:ascii="Times New Roman" w:hAnsi="Times New Roman" w:eastAsia="宋体" w:cs="Times New Roman"/>
          <w:b/>
          <w:sz w:val="20"/>
          <w:szCs w:val="20"/>
          <w:lang w:val="en-US" w:eastAsia="en-US" w:bidi="ar-SA"/>
        </w:rPr>
        <w:t>Table 1: General parameters</w:t>
      </w:r>
    </w:p>
    <w:tbl>
      <w:tblPr>
        <w:tblStyle w:val="20"/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6"/>
        <w:gridCol w:w="5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b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b/>
                <w:sz w:val="20"/>
                <w:szCs w:val="20"/>
                <w:lang w:val="en-GB" w:eastAsia="ja-JP"/>
              </w:rPr>
              <w:t>Simulation parameters</w:t>
            </w:r>
          </w:p>
        </w:tc>
        <w:tc>
          <w:tcPr>
            <w:tcW w:w="559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b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b/>
                <w:sz w:val="20"/>
                <w:szCs w:val="20"/>
                <w:lang w:val="en-GB" w:eastAsia="ja-JP"/>
              </w:rPr>
              <w:t>Comments/values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86" w:type="dxa"/>
            <w:tcBorders>
              <w:top w:val="double" w:color="auto" w:sz="4" w:space="0"/>
            </w:tcBorders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Carrier frequency for Cell 1 and Cell 2</w:t>
            </w:r>
          </w:p>
        </w:tc>
        <w:tc>
          <w:tcPr>
            <w:tcW w:w="5595" w:type="dxa"/>
            <w:tcBorders>
              <w:top w:val="double" w:color="auto" w:sz="4" w:space="0"/>
            </w:tcBorders>
            <w:shd w:val="clear" w:color="auto" w:fill="auto"/>
          </w:tcPr>
          <w:p>
            <w:pPr>
              <w:spacing w:before="100" w:beforeAutospacing="1" w:after="0"/>
              <w:ind w:right="74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ja-JP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highlight w:val="none"/>
                <w:lang w:val="en-US" w:eastAsia="zh-CN" w:bidi="ar-SA"/>
              </w:rPr>
              <w:t>2.6 GH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highlight w:val="none"/>
                <w:lang w:val="en-US" w:eastAsia="zh-CN" w:bidi="ar-SA"/>
              </w:rPr>
              <w:t>z</w:t>
            </w:r>
          </w:p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Prior knowledge of Cell 1 / Cell 2 by the UE</w:t>
            </w:r>
          </w:p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I</w:t>
            </w: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nterfering cell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 (</w:t>
            </w: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Cell 2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>)</w:t>
            </w: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 xml:space="preserve"> is not known to UE</w:t>
            </w:r>
          </w:p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DRX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No applicable for LP-WUR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BS transmit antennas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 for LP-SS blocks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1 Tx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UE receive antennas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1 Rx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  <w:vAlign w:val="center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Data and control channel subcarrier spacing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Data, SSB and LP-SS have the same SCS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Subcarrier spacing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ja-JP"/>
              </w:rPr>
              <w:t>30</w:t>
            </w:r>
            <w:r>
              <w:rPr>
                <w:rFonts w:hint="eastAsia" w:eastAsia="宋体"/>
                <w:sz w:val="20"/>
                <w:szCs w:val="20"/>
                <w:highlight w:val="none"/>
                <w:lang w:val="en-US" w:eastAsia="zh-CN"/>
              </w:rPr>
              <w:t>k</w:t>
            </w:r>
            <w:r>
              <w:rPr>
                <w:rFonts w:eastAsia="宋体"/>
                <w:sz w:val="20"/>
                <w:szCs w:val="20"/>
                <w:highlight w:val="none"/>
                <w:lang w:val="en-GB" w:eastAsia="ja-JP"/>
              </w:rPr>
              <w:t>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  <w:vAlign w:val="center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Measurement period (in number of measurement samples)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highlight w:val="yellow"/>
                <w:lang w:val="en-GB" w:eastAsia="ja-JP"/>
              </w:rPr>
              <w:t xml:space="preserve"> [</w:t>
            </w:r>
            <w:r>
              <w:rPr>
                <w:rFonts w:hint="eastAsia" w:eastAsia="宋体"/>
                <w:sz w:val="20"/>
                <w:szCs w:val="20"/>
                <w:highlight w:val="yellow"/>
                <w:lang w:val="en-US" w:eastAsia="zh-CN"/>
              </w:rPr>
              <w:t xml:space="preserve">3, </w:t>
            </w:r>
            <w:r>
              <w:rPr>
                <w:rFonts w:eastAsia="宋体"/>
                <w:sz w:val="20"/>
                <w:szCs w:val="20"/>
                <w:highlight w:val="yellow"/>
                <w:lang w:val="en-GB" w:eastAsia="ja-JP"/>
              </w:rPr>
              <w:t>4, 5]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LP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>-SS/SSB measurement interval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highlight w:val="none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ja-JP"/>
              </w:rPr>
              <w:t>LP-SS: 320 ms</w:t>
            </w:r>
          </w:p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ja-JP"/>
              </w:rPr>
              <w:t xml:space="preserve">SSB: 320 ms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LP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>-SS BW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left="360"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ja-JP"/>
              </w:rPr>
              <w:t xml:space="preserve">132 subcarriers for </w:t>
            </w:r>
            <w:r>
              <w:rPr>
                <w:rFonts w:hint="eastAsia" w:eastAsia="宋体"/>
                <w:sz w:val="20"/>
                <w:szCs w:val="20"/>
                <w:highlight w:val="none"/>
                <w:lang w:val="en-GB" w:eastAsia="ja-JP"/>
              </w:rPr>
              <w:t>SCS</w:t>
            </w:r>
            <w:r>
              <w:rPr>
                <w:rFonts w:eastAsia="宋体"/>
                <w:sz w:val="20"/>
                <w:szCs w:val="20"/>
                <w:highlight w:val="none"/>
                <w:lang w:val="en-GB" w:eastAsia="ja-JP"/>
              </w:rPr>
              <w:t>=30</w:t>
            </w:r>
            <w:r>
              <w:rPr>
                <w:rFonts w:hint="eastAsia" w:eastAsia="宋体"/>
                <w:sz w:val="20"/>
                <w:szCs w:val="20"/>
                <w:highlight w:val="none"/>
                <w:lang w:val="en-GB" w:eastAsia="ja-JP"/>
              </w:rPr>
              <w:t>kHz</w:t>
            </w:r>
            <w:r>
              <w:rPr>
                <w:rFonts w:eastAsia="宋体"/>
                <w:sz w:val="20"/>
                <w:szCs w:val="20"/>
                <w:highlight w:val="none"/>
                <w:lang w:val="en-GB" w:eastAsia="ja-JP"/>
              </w:rPr>
              <w:t xml:space="preserve"> for LP-SS initially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SSS 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left="360"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30KHz for 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 xml:space="preserve">Actual </w:t>
            </w:r>
            <w:r>
              <w:rPr>
                <w:rFonts w:hint="eastAsia" w:eastAsia="宋体"/>
                <w:sz w:val="20"/>
                <w:szCs w:val="20"/>
                <w:lang w:val="en-GB" w:eastAsia="ja-JP"/>
              </w:rPr>
              <w:t>LP</w:t>
            </w:r>
            <w:r>
              <w:rPr>
                <w:rFonts w:eastAsia="宋体"/>
                <w:sz w:val="20"/>
                <w:szCs w:val="20"/>
                <w:lang w:val="en-GB" w:eastAsia="ja-JP"/>
              </w:rPr>
              <w:t>-SS transmissions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always transmitted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Guard band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ja-JP"/>
              </w:rPr>
            </w:pPr>
            <w:r>
              <w:rPr>
                <w:rFonts w:eastAsia="宋体"/>
                <w:sz w:val="20"/>
                <w:szCs w:val="20"/>
                <w:lang w:val="en-GB" w:eastAsia="ja-JP"/>
              </w:rPr>
              <w:t>1 RB on each side of LP-SS/LP-WUS signal</w:t>
            </w:r>
          </w:p>
        </w:tc>
      </w:tr>
    </w:tbl>
    <w:p>
      <w:pPr>
        <w:spacing w:after="180"/>
        <w:rPr>
          <w:rFonts w:eastAsia="宋体"/>
          <w:sz w:val="20"/>
          <w:szCs w:val="20"/>
          <w:lang w:val="en-GB" w:eastAsia="en-US"/>
        </w:rPr>
      </w:pPr>
    </w:p>
    <w:p>
      <w:pPr>
        <w:keepNext/>
        <w:keepLines/>
        <w:spacing w:before="60" w:after="60"/>
        <w:ind w:right="72"/>
        <w:jc w:val="center"/>
        <w:rPr>
          <w:rFonts w:ascii="Arial" w:hAnsi="Arial" w:eastAsia="宋体" w:cs="Times New Roman"/>
          <w:b/>
          <w:sz w:val="20"/>
          <w:szCs w:val="20"/>
          <w:lang w:val="zh-CN" w:eastAsia="en-US" w:bidi="ar-SA"/>
        </w:rPr>
      </w:pPr>
      <w:r>
        <w:rPr>
          <w:rFonts w:ascii="Arial" w:hAnsi="Arial" w:eastAsia="宋体" w:cs="Times New Roman"/>
          <w:b/>
          <w:sz w:val="20"/>
          <w:szCs w:val="20"/>
          <w:lang w:val="zh-CN" w:eastAsia="en-US" w:bidi="ar-SA"/>
        </w:rPr>
        <w:t>Table 2: Cell-specific parameters</w:t>
      </w:r>
    </w:p>
    <w:tbl>
      <w:tblPr>
        <w:tblStyle w:val="20"/>
        <w:tblW w:w="85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4"/>
        <w:gridCol w:w="1243"/>
        <w:gridCol w:w="2628"/>
        <w:gridCol w:w="2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right="72"/>
              <w:jc w:val="center"/>
              <w:rPr>
                <w:rFonts w:ascii="Arial" w:hAnsi="Arial" w:eastAsia="宋体" w:cs="Times New Roman"/>
                <w:b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b/>
                <w:sz w:val="20"/>
                <w:szCs w:val="20"/>
                <w:lang w:val="en-US" w:eastAsia="en-US" w:bidi="ar-SA"/>
              </w:rPr>
              <w:t>Parameter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right="72"/>
              <w:jc w:val="center"/>
              <w:rPr>
                <w:rFonts w:ascii="Arial" w:hAnsi="Arial" w:eastAsia="宋体" w:cs="Times New Roman"/>
                <w:b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b/>
                <w:sz w:val="20"/>
                <w:szCs w:val="20"/>
                <w:lang w:val="en-US" w:eastAsia="en-US" w:bidi="ar-SA"/>
              </w:rPr>
              <w:t>Unit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right="72"/>
              <w:jc w:val="center"/>
              <w:rPr>
                <w:rFonts w:ascii="Arial" w:hAnsi="Arial" w:eastAsia="宋体" w:cs="Times New Roman"/>
                <w:b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b/>
                <w:sz w:val="20"/>
                <w:szCs w:val="20"/>
                <w:lang w:val="en-US" w:eastAsia="en-US" w:bidi="ar-SA"/>
              </w:rPr>
              <w:t>Cell 1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right="72"/>
              <w:jc w:val="center"/>
              <w:rPr>
                <w:rFonts w:ascii="Arial" w:hAnsi="Arial" w:eastAsia="宋体" w:cs="Times New Roman"/>
                <w:b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宋体" w:cs="Times New Roman"/>
                <w:b/>
                <w:sz w:val="20"/>
                <w:szCs w:val="20"/>
                <w:lang w:val="en-US" w:eastAsia="en-US" w:bidi="ar-SA"/>
              </w:rPr>
              <w:t>Cell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RF Channel number</w:t>
            </w:r>
          </w:p>
        </w:tc>
        <w:tc>
          <w:tcPr>
            <w:tcW w:w="124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-</w:t>
            </w:r>
          </w:p>
        </w:tc>
        <w:tc>
          <w:tcPr>
            <w:tcW w:w="262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Channel 1</w:t>
            </w:r>
          </w:p>
        </w:tc>
        <w:tc>
          <w:tcPr>
            <w:tcW w:w="252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Channel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NR-PSS, NR-SSS (OFDM based LP-WUR)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-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 xml:space="preserve">To be indicated by companies 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To be indicated by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it-IT" w:eastAsia="en-US"/>
              </w:rPr>
              <w:t>OOK-1; or</w:t>
            </w: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it-IT" w:eastAsia="en-US"/>
              </w:rPr>
              <w:t>OOK-4 with M = [2,4]</w:t>
            </w: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it-IT" w:eastAsia="en-US"/>
              </w:rPr>
            </w:pPr>
          </w:p>
          <w:p>
            <w:pPr>
              <w:spacing w:before="100" w:beforeAutospacing="1" w:after="0"/>
              <w:ind w:right="74"/>
              <w:rPr>
                <w:rFonts w:ascii="Times New Roman" w:hAnsi="Times New Roman" w:eastAsia="宋体" w:cs="Times New Roman"/>
                <w:sz w:val="20"/>
                <w:szCs w:val="20"/>
                <w:highlight w:val="none"/>
                <w:lang w:val="it-IT" w:eastAsia="en-US" w:bidi="ar-SA"/>
              </w:rPr>
            </w:pP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it-IT" w:eastAsia="en-US"/>
              </w:rPr>
            </w:pP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it-IT" w:eastAsia="en-US"/>
              </w:rPr>
            </w:pP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when Cell 1 uses OOK-1; OOK-1 or NR signal is used for Cell 2</w:t>
            </w: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when Cell 1 uses OOK-4,</w:t>
            </w: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OOK-4 with same M value as cell 1 or NR signal is used for Cell 2</w:t>
            </w: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it-IT" w:eastAsia="en-US"/>
              </w:rPr>
            </w:pPr>
          </w:p>
          <w:p>
            <w:pPr>
              <w:spacing w:before="100" w:beforeAutospacing="1" w:after="0"/>
              <w:ind w:right="74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val="it-IT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LP-SS pattern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[M sequence] </w:t>
            </w: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Note: Company can simulate one or all of them</w:t>
            </w: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[M sequence] </w:t>
            </w: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Note: Company can simulate one or all of them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PBCH and DMRS power offset with respect to NR-PSS, NR-SSS and 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dB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0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Data and control PSD relative to NR-PSS</w:t>
            </w:r>
            <w:r>
              <w:rPr>
                <w:rFonts w:hint="eastAsia" w:eastAsia="宋体"/>
                <w:sz w:val="20"/>
                <w:szCs w:val="20"/>
                <w:lang w:val="it-IT" w:eastAsia="en-US"/>
              </w:rPr>
              <w:t>,</w:t>
            </w:r>
            <w:r>
              <w:rPr>
                <w:rFonts w:eastAsia="宋体"/>
                <w:sz w:val="20"/>
                <w:szCs w:val="20"/>
                <w:lang w:val="it-IT" w:eastAsia="en-US"/>
              </w:rPr>
              <w:t>NR-SSS and 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dB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0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RB Utilization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%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100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Data Modulation</w:t>
            </w: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-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QPSK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Slot length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-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14 symbols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14 symbols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CP Length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-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Normal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it-IT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Frequency offset relative to UE frequency reference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Hz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  <w:p>
            <w:pPr>
              <w:snapToGrid w:val="0"/>
              <w:spacing w:after="120"/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OFDM based receiver [5] ppm</w:t>
            </w:r>
          </w:p>
          <w:p>
            <w:pPr>
              <w:snapToGrid w:val="0"/>
              <w:spacing w:after="120"/>
              <w:rPr>
                <w:rFonts w:eastAsia="宋体"/>
                <w:color w:val="000000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yellow"/>
                <w:lang w:val="en-US" w:eastAsia="zh-CN"/>
              </w:rPr>
              <w:t>OOK based receiver [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yellow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20"/>
                <w:szCs w:val="20"/>
                <w:highlight w:val="yellow"/>
                <w:lang w:val="en-US" w:eastAsia="zh-CN"/>
              </w:rPr>
              <w:t xml:space="preserve">0] ppm </w:t>
            </w:r>
          </w:p>
          <w:p>
            <w:pPr>
              <w:spacing w:before="100" w:beforeAutospacing="1" w:after="0"/>
              <w:ind w:right="74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FF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it-IT"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Tim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GB" w:eastAsia="en-US"/>
              </w:rPr>
              <w:t>ing</w:t>
            </w: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 xml:space="preserve"> error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 xml:space="preserve">Residual timing error </w:t>
            </w: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 xml:space="preserve">+ timing drift (frequency offset* 320ms (reference signal periodicity) </w:t>
            </w: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highlight w:val="yellow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highlight w:val="yellow"/>
                <w:lang w:val="en-GB" w:eastAsia="en-US"/>
              </w:rPr>
              <w:t xml:space="preserve">Residual timing error: </w:t>
            </w:r>
          </w:p>
          <w:p>
            <w:pPr>
              <w:spacing w:after="0"/>
              <w:ind w:right="72"/>
              <w:rPr>
                <w:rFonts w:hint="eastAsia" w:eastAsia="宋体"/>
                <w:color w:val="000000"/>
                <w:sz w:val="20"/>
                <w:szCs w:val="20"/>
                <w:highlight w:val="yellow"/>
                <w:lang w:val="en-GB" w:eastAsia="en-US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highlight w:val="yellow"/>
                <w:lang w:val="en-GB" w:eastAsia="en-US"/>
              </w:rPr>
              <w:t>T=5us for OOK-1</w:t>
            </w:r>
          </w:p>
          <w:p>
            <w:pPr>
              <w:spacing w:after="0"/>
              <w:ind w:right="72"/>
              <w:rPr>
                <w:rFonts w:hint="eastAsia" w:eastAsia="宋体"/>
                <w:color w:val="000000"/>
                <w:sz w:val="20"/>
                <w:szCs w:val="20"/>
                <w:highlight w:val="yellow"/>
                <w:lang w:val="en-GB" w:eastAsia="en-US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highlight w:val="yellow"/>
                <w:lang w:val="en-GB" w:eastAsia="en-US"/>
              </w:rPr>
              <w:t>T=2us for OOK-4 with M=2</w:t>
            </w:r>
          </w:p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highlight w:val="yellow"/>
                <w:lang w:val="en-GB" w:eastAsia="en-US"/>
              </w:rPr>
              <w:t>T=1us for OOK-4 with M=4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FF0000"/>
                <w:sz w:val="20"/>
                <w:szCs w:val="20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1)Relative Delay of 1</w:t>
            </w:r>
            <w:r>
              <w:rPr>
                <w:rFonts w:eastAsia="宋体"/>
                <w:sz w:val="20"/>
                <w:szCs w:val="20"/>
                <w:vertAlign w:val="superscript"/>
                <w:lang w:val="en-GB" w:eastAsia="en-US"/>
              </w:rPr>
              <w:t>st</w:t>
            </w:r>
            <w:r>
              <w:rPr>
                <w:rFonts w:eastAsia="宋体"/>
                <w:sz w:val="20"/>
                <w:szCs w:val="20"/>
                <w:lang w:val="en-GB" w:eastAsia="en-US"/>
              </w:rPr>
              <w:t xml:space="preserve"> Path (synchronous)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µs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0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CP/2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2) Relative Delay of 1</w:t>
            </w:r>
            <w:r>
              <w:rPr>
                <w:rFonts w:eastAsia="宋体"/>
                <w:sz w:val="20"/>
                <w:szCs w:val="20"/>
                <w:vertAlign w:val="superscript"/>
                <w:lang w:val="en-GB" w:eastAsia="en-US"/>
              </w:rPr>
              <w:t>st</w:t>
            </w:r>
            <w:r>
              <w:rPr>
                <w:rFonts w:eastAsia="宋体"/>
                <w:sz w:val="20"/>
                <w:szCs w:val="20"/>
                <w:lang w:val="en-GB" w:eastAsia="en-US"/>
              </w:rPr>
              <w:t xml:space="preserve"> Path (asynchronous): Fixed delay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ms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0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3 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8" w:hRule="atLeast"/>
          <w:jc w:val="center"/>
        </w:trPr>
        <w:tc>
          <w:tcPr>
            <w:tcW w:w="2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 xml:space="preserve">SNR </w:t>
            </w:r>
          </w:p>
        </w:tc>
        <w:tc>
          <w:tcPr>
            <w:tcW w:w="12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dB</w:t>
            </w: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SNR setting for serving and interference cell are derived based on agreement of Issue 2-1-1-1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7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>When Ês/Iot = -3 dB</w:t>
            </w:r>
          </w:p>
          <w:p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ind w:left="293" w:firstLine="420" w:firstLineChars="0"/>
              <w:textAlignment w:val="baseline"/>
              <w:rPr>
                <w:rFonts w:ascii="Times New Roman" w:hAnsi="Times New Roman" w:eastAsia="微软雅黑" w:cs="Times New Roman"/>
                <w:iCs/>
                <w:color w:val="000000"/>
                <w:sz w:val="20"/>
                <w:szCs w:val="20"/>
                <w:highlight w:val="none"/>
                <w:lang w:val="en-GB" w:eastAsia="en-US" w:bidi="ar-SA"/>
              </w:rPr>
            </w:pPr>
            <w:r>
              <w:rPr>
                <w:rFonts w:ascii="Times New Roman" w:hAnsi="Times New Roman" w:eastAsia="微软雅黑" w:cs="Times New Roman"/>
                <w:iCs/>
                <w:color w:val="000000"/>
                <w:sz w:val="20"/>
                <w:szCs w:val="20"/>
                <w:highlight w:val="none"/>
                <w:lang w:val="en-GB" w:eastAsia="en-US" w:bidi="ar-SA"/>
              </w:rPr>
              <w:t xml:space="preserve">When SNR of cell 2 is 9 dB lower compared with cell 2;   </w:t>
            </w:r>
          </w:p>
          <w:p>
            <w:pPr>
              <w:spacing w:after="0"/>
              <w:ind w:left="576"/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hint="eastAsia"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  <w:t>SNR</w:t>
            </w:r>
            <w:r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  <w:t xml:space="preserve"> = [-2.7]</w:t>
            </w:r>
          </w:p>
          <w:p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ind w:left="293" w:firstLine="420" w:firstLineChars="0"/>
              <w:textAlignment w:val="baseline"/>
              <w:rPr>
                <w:rFonts w:ascii="Times New Roman" w:hAnsi="Times New Roman" w:eastAsia="微软雅黑" w:cs="Times New Roman"/>
                <w:iCs/>
                <w:color w:val="000000"/>
                <w:sz w:val="20"/>
                <w:szCs w:val="20"/>
                <w:highlight w:val="none"/>
                <w:lang w:val="en-GB" w:eastAsia="en-US" w:bidi="ar-SA"/>
              </w:rPr>
            </w:pPr>
            <w:r>
              <w:rPr>
                <w:rFonts w:ascii="Times New Roman" w:hAnsi="Times New Roman" w:eastAsia="微软雅黑" w:cs="Times New Roman"/>
                <w:iCs/>
                <w:color w:val="000000"/>
                <w:sz w:val="20"/>
                <w:szCs w:val="20"/>
                <w:highlight w:val="none"/>
                <w:lang w:val="en-GB" w:eastAsia="en-US" w:bidi="ar-SA"/>
              </w:rPr>
              <w:t xml:space="preserve">When SNR of cell 2 is 6 dB lower compared with cell 2 </w:t>
            </w:r>
          </w:p>
          <w:p>
            <w:pPr>
              <w:spacing w:after="0"/>
              <w:ind w:left="576"/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hint="eastAsia"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  <w:t>SNR</w:t>
            </w:r>
            <w:r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  <w:t xml:space="preserve"> = [-2.4]</w:t>
            </w: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</w:p>
        </w:tc>
        <w:tc>
          <w:tcPr>
            <w:tcW w:w="252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>When Ês/Iot = -3 dB</w:t>
            </w:r>
          </w:p>
          <w:p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ind w:left="293" w:firstLine="420" w:firstLineChars="0"/>
              <w:textAlignment w:val="baseline"/>
              <w:rPr>
                <w:rFonts w:ascii="Times New Roman" w:hAnsi="Times New Roman" w:eastAsia="微软雅黑" w:cs="Times New Roman"/>
                <w:iCs/>
                <w:color w:val="000000"/>
                <w:sz w:val="20"/>
                <w:szCs w:val="20"/>
                <w:highlight w:val="none"/>
                <w:lang w:val="en-GB" w:eastAsia="en-US" w:bidi="ar-SA"/>
              </w:rPr>
            </w:pPr>
            <w:r>
              <w:rPr>
                <w:rFonts w:ascii="Times New Roman" w:hAnsi="Times New Roman" w:eastAsia="微软雅黑" w:cs="Times New Roman"/>
                <w:iCs/>
                <w:color w:val="000000"/>
                <w:sz w:val="20"/>
                <w:szCs w:val="20"/>
                <w:highlight w:val="none"/>
                <w:lang w:val="en-GB" w:eastAsia="en-US" w:bidi="ar-SA"/>
              </w:rPr>
              <w:t xml:space="preserve">When SNR of cell 2 is 9 dB lower compared with cell 2; </w:t>
            </w:r>
          </w:p>
          <w:p>
            <w:pPr>
              <w:spacing w:after="0"/>
              <w:ind w:left="442"/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  <w:t xml:space="preserve">SNR = [-11.7] </w:t>
            </w:r>
          </w:p>
          <w:p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ind w:left="293" w:firstLine="420" w:firstLineChars="0"/>
              <w:textAlignment w:val="baseline"/>
              <w:rPr>
                <w:rFonts w:ascii="Times New Roman" w:hAnsi="Times New Roman" w:eastAsia="微软雅黑" w:cs="Times New Roman"/>
                <w:iCs/>
                <w:color w:val="000000"/>
                <w:sz w:val="20"/>
                <w:szCs w:val="20"/>
                <w:highlight w:val="none"/>
                <w:lang w:val="en-GB" w:eastAsia="en-US" w:bidi="ar-SA"/>
              </w:rPr>
            </w:pPr>
            <w:r>
              <w:rPr>
                <w:rFonts w:ascii="Times New Roman" w:hAnsi="Times New Roman" w:eastAsia="微软雅黑" w:cs="Times New Roman"/>
                <w:iCs/>
                <w:color w:val="000000"/>
                <w:sz w:val="20"/>
                <w:szCs w:val="20"/>
                <w:highlight w:val="none"/>
                <w:lang w:val="en-GB" w:eastAsia="en-US" w:bidi="ar-SA"/>
              </w:rPr>
              <w:t xml:space="preserve">When SNR of cell 2 is 6 dB lower compared with cell 2; </w:t>
            </w:r>
          </w:p>
          <w:p>
            <w:pPr>
              <w:spacing w:after="0"/>
              <w:ind w:left="442"/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  <w:t>SNR = [-8.4]</w:t>
            </w: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>When Ês/Iot = -0.5 dB</w:t>
            </w:r>
          </w:p>
          <w:p>
            <w:pPr>
              <w:spacing w:after="0"/>
              <w:ind w:right="72"/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</w:pP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 xml:space="preserve">Note: Determine the SNR based on </w:t>
            </w: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GB" w:eastAsia="en-US"/>
              </w:rPr>
              <w:t>based on agreement of Issue 2-1-1-1</w:t>
            </w:r>
          </w:p>
        </w:tc>
        <w:tc>
          <w:tcPr>
            <w:tcW w:w="252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>When Ês/Iot = -0.5 dB</w:t>
            </w:r>
          </w:p>
          <w:p>
            <w:pPr>
              <w:spacing w:after="0"/>
              <w:ind w:right="72"/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</w:pP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 xml:space="preserve">Note: Determine the SNR based on </w:t>
            </w: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GB" w:eastAsia="en-US"/>
              </w:rPr>
              <w:t>based on agreement of Issue 2-1-1-1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>When Ês/Iot = 2 dB</w:t>
            </w:r>
          </w:p>
          <w:p>
            <w:pPr>
              <w:spacing w:after="0"/>
              <w:ind w:right="72"/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</w:pP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 xml:space="preserve">Note: Determine the SNR based on </w:t>
            </w: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GB" w:eastAsia="en-US"/>
              </w:rPr>
              <w:t>based on agreement of Issue 2-1-1-1</w:t>
            </w:r>
          </w:p>
        </w:tc>
        <w:tc>
          <w:tcPr>
            <w:tcW w:w="252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>When Ês/Iot = 2 dB</w:t>
            </w:r>
          </w:p>
          <w:p>
            <w:pPr>
              <w:spacing w:after="0"/>
              <w:ind w:right="72"/>
              <w:rPr>
                <w:rFonts w:eastAsia="微软雅黑"/>
                <w:iCs/>
                <w:color w:val="000000"/>
                <w:sz w:val="20"/>
                <w:szCs w:val="20"/>
                <w:highlight w:val="none"/>
                <w:lang w:val="en-GB" w:eastAsia="en-US"/>
              </w:rPr>
            </w:pPr>
          </w:p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 xml:space="preserve">Note: Determine the SNR based on </w:t>
            </w:r>
            <w:r>
              <w:rPr>
                <w:rFonts w:eastAsia="宋体"/>
                <w:color w:val="000000"/>
                <w:sz w:val="20"/>
                <w:szCs w:val="20"/>
                <w:highlight w:val="none"/>
                <w:lang w:val="en-GB" w:eastAsia="en-US"/>
              </w:rPr>
              <w:t>based on agreement of Issue 2-1-1-1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Ês/Iot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dB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 xml:space="preserve">-3; </w:t>
            </w:r>
            <w:r>
              <w:rPr>
                <w:rFonts w:eastAsia="宋体"/>
                <w:bCs/>
                <w:sz w:val="20"/>
                <w:szCs w:val="20"/>
                <w:highlight w:val="none"/>
                <w:lang w:val="en-GB" w:eastAsia="en-US"/>
              </w:rPr>
              <w:t>-0.5dB; 2dB</w:t>
            </w: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 xml:space="preserve">  </w:t>
            </w:r>
          </w:p>
        </w:tc>
        <w:tc>
          <w:tcPr>
            <w:tcW w:w="2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highlight w:val="none"/>
                <w:lang w:val="en-GB" w:eastAsia="en-US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Propagation conditions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-</w:t>
            </w: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en-US" w:eastAsia="en-US" w:bidi="ar-SA"/>
              </w:rPr>
              <w:t>FR1:</w:t>
            </w:r>
          </w:p>
          <w:p>
            <w:pPr>
              <w:keepNext/>
              <w:keepLines/>
              <w:spacing w:after="0"/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en-US" w:eastAsia="en-US" w:bidi="ar-SA"/>
              </w:rPr>
              <w:t>AWGN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color w:val="000000"/>
                <w:sz w:val="20"/>
                <w:szCs w:val="20"/>
                <w:lang w:val="zh-CN" w:eastAsia="en-US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en-US" w:eastAsia="en-US" w:bidi="ar-SA"/>
              </w:rPr>
              <w:t>TDL-C 300ns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  <w:t>UE speed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color w:val="000000"/>
                <w:sz w:val="20"/>
                <w:szCs w:val="20"/>
                <w:lang w:val="en-GB" w:eastAsia="en-US"/>
              </w:rPr>
            </w:pP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sv-SE" w:eastAsia="en-US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  <w:lang w:val="sv-SE" w:eastAsia="en-US" w:bidi="ar-SA"/>
              </w:rPr>
              <w:t xml:space="preserve">3 km/h  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Times New Roman"/>
                <w:color w:val="000000"/>
                <w:sz w:val="20"/>
                <w:szCs w:val="20"/>
                <w:lang w:val="sv-SE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</w:p>
        </w:tc>
      </w:tr>
    </w:tbl>
    <w:p>
      <w:pPr>
        <w:keepNext/>
        <w:keepLines/>
        <w:spacing w:before="60" w:after="60"/>
        <w:ind w:right="72"/>
        <w:jc w:val="center"/>
        <w:rPr>
          <w:rFonts w:ascii="Arial" w:hAnsi="Arial" w:eastAsia="宋体" w:cs="Times New Roman"/>
          <w:b/>
          <w:sz w:val="20"/>
          <w:szCs w:val="20"/>
          <w:lang w:val="en-US" w:eastAsia="en-US" w:bidi="ar-SA"/>
        </w:rPr>
      </w:pPr>
    </w:p>
    <w:p>
      <w:pPr>
        <w:keepNext/>
        <w:keepLines/>
        <w:spacing w:before="60" w:after="60"/>
        <w:ind w:right="72"/>
        <w:jc w:val="center"/>
        <w:rPr>
          <w:rFonts w:ascii="Arial" w:hAnsi="Arial" w:eastAsia="等线" w:cs="Times New Roman"/>
          <w:b/>
          <w:i/>
          <w:color w:val="000000"/>
          <w:sz w:val="20"/>
          <w:szCs w:val="20"/>
          <w:lang w:val="en-US" w:eastAsia="en-US" w:bidi="ar-SA"/>
        </w:rPr>
      </w:pPr>
      <w:r>
        <w:rPr>
          <w:rFonts w:ascii="Arial" w:hAnsi="Arial" w:eastAsia="宋体" w:cs="Times New Roman"/>
          <w:b/>
          <w:sz w:val="20"/>
          <w:szCs w:val="20"/>
          <w:lang w:val="zh-CN" w:eastAsia="en-US" w:bidi="ar-SA"/>
        </w:rPr>
        <w:t>Table 3: UE-specific parameters</w:t>
      </w: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9"/>
        <w:gridCol w:w="6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9" w:type="dxa"/>
            <w:shd w:val="clear" w:color="auto" w:fill="auto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[Receiver Filter]</w:t>
            </w:r>
          </w:p>
        </w:tc>
        <w:tc>
          <w:tcPr>
            <w:tcW w:w="602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[3th/5th Order Butterworth with 3.96MHz bandwidth]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9" w:type="dxa"/>
            <w:shd w:val="clear" w:color="auto" w:fill="auto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[Receiver ADC bit width]</w:t>
            </w:r>
          </w:p>
        </w:tc>
        <w:tc>
          <w:tcPr>
            <w:tcW w:w="602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[4 or 8-bitADC]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9" w:type="dxa"/>
            <w:shd w:val="clear" w:color="auto" w:fill="auto"/>
            <w:vAlign w:val="center"/>
          </w:tcPr>
          <w:p>
            <w:pPr>
              <w:spacing w:after="0"/>
              <w:ind w:right="72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sz w:val="20"/>
                <w:szCs w:val="20"/>
                <w:lang w:val="en-GB" w:eastAsia="en-US"/>
              </w:rPr>
              <w:t>[Receiver Sampling Rate for LP-SS only]</w:t>
            </w:r>
          </w:p>
        </w:tc>
        <w:tc>
          <w:tcPr>
            <w:tcW w:w="6026" w:type="dxa"/>
            <w:shd w:val="clear" w:color="auto" w:fill="auto"/>
            <w:vAlign w:val="center"/>
          </w:tcPr>
          <w:p>
            <w:pPr>
              <w:spacing w:after="0"/>
              <w:ind w:right="72"/>
              <w:jc w:val="center"/>
              <w:rPr>
                <w:rFonts w:eastAsia="宋体"/>
                <w:sz w:val="20"/>
                <w:szCs w:val="20"/>
                <w:lang w:val="en-GB" w:eastAsia="en-US"/>
              </w:rPr>
            </w:pPr>
            <w:r>
              <w:rPr>
                <w:rFonts w:eastAsia="宋体"/>
                <w:color w:val="auto"/>
                <w:sz w:val="20"/>
                <w:szCs w:val="20"/>
                <w:highlight w:val="yellow"/>
                <w:lang w:val="en-GB" w:eastAsia="en-US"/>
              </w:rPr>
              <w:t>[7.68MHz]</w:t>
            </w:r>
          </w:p>
        </w:tc>
      </w:tr>
    </w:tbl>
    <w:p>
      <w:pPr>
        <w:numPr>
          <w:ilvl w:val="0"/>
          <w:numId w:val="0"/>
        </w:numPr>
        <w:rPr>
          <w:rFonts w:hint="default"/>
          <w:sz w:val="20"/>
          <w:szCs w:val="20"/>
          <w:lang w:val="en-US" w:eastAsia="zh-CN"/>
        </w:rPr>
      </w:pPr>
    </w:p>
    <w:p>
      <w:pPr>
        <w:pStyle w:val="2"/>
        <w:numPr>
          <w:ilvl w:val="0"/>
          <w:numId w:val="0"/>
        </w:numPr>
        <w:pBdr>
          <w:top w:val="single" w:color="auto" w:sz="12" w:space="3"/>
        </w:pBdr>
        <w:spacing w:before="120" w:after="60" w:line="240" w:lineRule="auto"/>
        <w:ind w:leftChars="0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US" w:eastAsia="zh-CN"/>
        </w:rPr>
        <w:t>Annex.B</w:t>
      </w:r>
    </w:p>
    <w:p>
      <w:pPr>
        <w:rPr>
          <w:lang w:val="en-GB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0"/>
          <w:szCs w:val="20"/>
          <w:u w:val="single"/>
          <w:lang w:val="en-US" w:eastAsia="zh-CN"/>
        </w:rPr>
      </w:pPr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Simulation results in CDF</w:t>
      </w:r>
    </w:p>
    <w:p>
      <w:pPr>
        <w:rPr>
          <w:rFonts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</w:pPr>
      <w:r>
        <w:rPr>
          <w:rFonts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890520" cy="2385060"/>
            <wp:effectExtent l="0" t="0" r="508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7988" cy="2408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790825" cy="2317750"/>
            <wp:effectExtent l="0" t="0" r="3175" b="635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13646" cy="2336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</w:pPr>
      <w:r>
        <w:rPr>
          <w:rFonts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721610" cy="2297430"/>
            <wp:effectExtent l="0" t="0" r="8890" b="127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1937" cy="2331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848610" cy="2286000"/>
            <wp:effectExtent l="0" t="0" r="889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87213" cy="2317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</w:pPr>
    </w:p>
    <w:p>
      <w:pPr>
        <w:rPr>
          <w:rFonts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</w:pPr>
      <w:r>
        <w:rPr>
          <w:rFonts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848610" cy="2280285"/>
            <wp:effectExtent l="0" t="0" r="8890" b="571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70194" cy="2298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882265" cy="2406650"/>
            <wp:effectExtent l="0" t="0" r="635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95673" cy="2417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</w:pPr>
    </w:p>
    <w:p>
      <w:pPr>
        <w:rPr>
          <w:rFonts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</w:pPr>
      <w:r>
        <w:rPr>
          <w:rFonts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679700" cy="2275205"/>
            <wp:effectExtent l="0" t="0" r="0" b="1079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13813" cy="2304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910205" cy="2304415"/>
            <wp:effectExtent l="0" t="0" r="10795" b="698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28297" cy="2319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</w:pPr>
    </w:p>
    <w:p>
      <w:pPr>
        <w:rPr>
          <w:rFonts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</w:pPr>
      <w:r>
        <w:rPr>
          <w:rFonts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609215" cy="2225675"/>
            <wp:effectExtent l="0" t="0" r="6985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19929" cy="2234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588260" cy="2204720"/>
            <wp:effectExtent l="0" t="0" r="2540" b="508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21628" cy="223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</w:pPr>
      <w:r>
        <w:rPr>
          <w:rFonts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700655" cy="2207895"/>
            <wp:effectExtent l="0" t="0" r="4445" b="190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19356" cy="2223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Malgun Gothic"/>
          <w:iCs/>
          <w:color w:val="000000" w:themeColor="text1"/>
          <w:sz w:val="20"/>
          <w:szCs w:val="20"/>
          <w:lang w:eastAsia="ko-KR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560320" cy="2208530"/>
            <wp:effectExtent l="0" t="0" r="5080" b="127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82826" cy="222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b/>
          <w:bCs/>
          <w:sz w:val="20"/>
          <w:szCs w:val="20"/>
          <w:u w:val="single"/>
          <w:lang w:val="en-US" w:eastAsia="zh-CN"/>
        </w:rPr>
      </w:pP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2C406E"/>
    <w:multiLevelType w:val="multilevel"/>
    <w:tmpl w:val="042C406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65C85C9A"/>
    <w:multiLevelType w:val="singleLevel"/>
    <w:tmpl w:val="65C85C9A"/>
    <w:lvl w:ilvl="0" w:tentative="0">
      <w:start w:val="1"/>
      <w:numFmt w:val="decimal"/>
      <w:suff w:val="space"/>
      <w:lvlText w:val="[%1]"/>
      <w:lvlJc w:val="left"/>
    </w:lvl>
  </w:abstractNum>
  <w:abstractNum w:abstractNumId="3">
    <w:nsid w:val="6CDA2FB2"/>
    <w:multiLevelType w:val="multilevel"/>
    <w:tmpl w:val="6CDA2FB2"/>
    <w:lvl w:ilvl="0" w:tentative="0">
      <w:start w:val="1"/>
      <w:numFmt w:val="decimal"/>
      <w:pStyle w:val="54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8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strike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4ZGU3MWE1MzM0YTQ1MDJkODZlYzMyNzc4YTZmMzYifQ=="/>
  </w:docVars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092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3C3E"/>
    <w:rsid w:val="00023ED4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1CD9"/>
    <w:rsid w:val="0004204F"/>
    <w:rsid w:val="000426B6"/>
    <w:rsid w:val="00042823"/>
    <w:rsid w:val="00043405"/>
    <w:rsid w:val="0004411D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5DC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92"/>
    <w:rsid w:val="00086643"/>
    <w:rsid w:val="00086AB0"/>
    <w:rsid w:val="00087358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365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042D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B26"/>
    <w:rsid w:val="000C3D14"/>
    <w:rsid w:val="000C3E02"/>
    <w:rsid w:val="000C42DD"/>
    <w:rsid w:val="000C4566"/>
    <w:rsid w:val="000C4CA3"/>
    <w:rsid w:val="000C51A3"/>
    <w:rsid w:val="000C529D"/>
    <w:rsid w:val="000C5F94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3E5"/>
    <w:rsid w:val="000E2611"/>
    <w:rsid w:val="000E2A45"/>
    <w:rsid w:val="000E30F5"/>
    <w:rsid w:val="000E37E4"/>
    <w:rsid w:val="000E3EDA"/>
    <w:rsid w:val="000E4A59"/>
    <w:rsid w:val="000E4A88"/>
    <w:rsid w:val="000E4B40"/>
    <w:rsid w:val="000E4DBD"/>
    <w:rsid w:val="000E5269"/>
    <w:rsid w:val="000E5428"/>
    <w:rsid w:val="000E5772"/>
    <w:rsid w:val="000E58A1"/>
    <w:rsid w:val="000E58C5"/>
    <w:rsid w:val="000E72E5"/>
    <w:rsid w:val="000E7744"/>
    <w:rsid w:val="000E7BE4"/>
    <w:rsid w:val="000E7C25"/>
    <w:rsid w:val="000E7D09"/>
    <w:rsid w:val="000E7F61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AA"/>
    <w:rsid w:val="00100DC7"/>
    <w:rsid w:val="00101852"/>
    <w:rsid w:val="00101941"/>
    <w:rsid w:val="00101971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1519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C4E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DE5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246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310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4FC8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DD1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709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35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3FA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9F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C68"/>
    <w:rsid w:val="001E1DE4"/>
    <w:rsid w:val="001E27B6"/>
    <w:rsid w:val="001E3124"/>
    <w:rsid w:val="001E3FEC"/>
    <w:rsid w:val="001E401F"/>
    <w:rsid w:val="001E410B"/>
    <w:rsid w:val="001E437D"/>
    <w:rsid w:val="001E4400"/>
    <w:rsid w:val="001E4CDA"/>
    <w:rsid w:val="001E5447"/>
    <w:rsid w:val="001E5634"/>
    <w:rsid w:val="001E5F4E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1A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2F0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094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67F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C55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06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BF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20C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26D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A21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5F8"/>
    <w:rsid w:val="00295CDB"/>
    <w:rsid w:val="0029787F"/>
    <w:rsid w:val="0029795D"/>
    <w:rsid w:val="00297AF7"/>
    <w:rsid w:val="00297CDF"/>
    <w:rsid w:val="00297D27"/>
    <w:rsid w:val="00297DB7"/>
    <w:rsid w:val="00297E1D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B7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602C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0CC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CCA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0AC0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38"/>
    <w:rsid w:val="003174A7"/>
    <w:rsid w:val="0031757E"/>
    <w:rsid w:val="00317A1F"/>
    <w:rsid w:val="003205BC"/>
    <w:rsid w:val="003206DA"/>
    <w:rsid w:val="003207FE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285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6A7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759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9B"/>
    <w:rsid w:val="003806C3"/>
    <w:rsid w:val="003808D9"/>
    <w:rsid w:val="00380B4D"/>
    <w:rsid w:val="00380C09"/>
    <w:rsid w:val="00380D46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8F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205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3BD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928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9A5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153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A73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DE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5F7E"/>
    <w:rsid w:val="00446573"/>
    <w:rsid w:val="00446926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1A82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5F8"/>
    <w:rsid w:val="0047279F"/>
    <w:rsid w:val="004728E6"/>
    <w:rsid w:val="00472A17"/>
    <w:rsid w:val="00472ACD"/>
    <w:rsid w:val="00472B48"/>
    <w:rsid w:val="00472BC9"/>
    <w:rsid w:val="004733FC"/>
    <w:rsid w:val="0047370E"/>
    <w:rsid w:val="00473D14"/>
    <w:rsid w:val="0047406B"/>
    <w:rsid w:val="00474484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6E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6F07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3DEF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0F29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F4E"/>
    <w:rsid w:val="004F6F60"/>
    <w:rsid w:val="004F737B"/>
    <w:rsid w:val="004F78F2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134"/>
    <w:rsid w:val="00506897"/>
    <w:rsid w:val="00506BF0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305"/>
    <w:rsid w:val="005144AE"/>
    <w:rsid w:val="005153FA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37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5938"/>
    <w:rsid w:val="00546F0E"/>
    <w:rsid w:val="00546F3B"/>
    <w:rsid w:val="00547041"/>
    <w:rsid w:val="00547AC0"/>
    <w:rsid w:val="00550A37"/>
    <w:rsid w:val="00550B39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3EC9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5D24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2EC"/>
    <w:rsid w:val="005726DB"/>
    <w:rsid w:val="0057306B"/>
    <w:rsid w:val="005730A1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45A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1B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3A8"/>
    <w:rsid w:val="005C36FC"/>
    <w:rsid w:val="005C445B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754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5CF5"/>
    <w:rsid w:val="005F6E23"/>
    <w:rsid w:val="005F6F07"/>
    <w:rsid w:val="005F7816"/>
    <w:rsid w:val="005F7AD8"/>
    <w:rsid w:val="006017EB"/>
    <w:rsid w:val="006024E0"/>
    <w:rsid w:val="00602807"/>
    <w:rsid w:val="006035C8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6B"/>
    <w:rsid w:val="00606399"/>
    <w:rsid w:val="00606403"/>
    <w:rsid w:val="00606C75"/>
    <w:rsid w:val="00606FC0"/>
    <w:rsid w:val="006078A3"/>
    <w:rsid w:val="006079B9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999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5D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37A65"/>
    <w:rsid w:val="00640624"/>
    <w:rsid w:val="006408C2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C78"/>
    <w:rsid w:val="00653E95"/>
    <w:rsid w:val="00654409"/>
    <w:rsid w:val="0065453F"/>
    <w:rsid w:val="00654542"/>
    <w:rsid w:val="006548E7"/>
    <w:rsid w:val="00655088"/>
    <w:rsid w:val="00655363"/>
    <w:rsid w:val="0065536B"/>
    <w:rsid w:val="00655396"/>
    <w:rsid w:val="006559CE"/>
    <w:rsid w:val="00655AC0"/>
    <w:rsid w:val="00655C21"/>
    <w:rsid w:val="0065641F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5C61"/>
    <w:rsid w:val="006661C0"/>
    <w:rsid w:val="006666E0"/>
    <w:rsid w:val="00666838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7AD"/>
    <w:rsid w:val="00673980"/>
    <w:rsid w:val="00673C29"/>
    <w:rsid w:val="0067446A"/>
    <w:rsid w:val="00674B3F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18C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7FA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43C"/>
    <w:rsid w:val="006A78DA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4D4"/>
    <w:rsid w:val="006C165A"/>
    <w:rsid w:val="006C18BA"/>
    <w:rsid w:val="006C19B2"/>
    <w:rsid w:val="006C1B50"/>
    <w:rsid w:val="006C257E"/>
    <w:rsid w:val="006C2EC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34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2AD"/>
    <w:rsid w:val="006D1C1E"/>
    <w:rsid w:val="006D20AA"/>
    <w:rsid w:val="006D20DE"/>
    <w:rsid w:val="006D21AF"/>
    <w:rsid w:val="006D233D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8AC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DC6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AE2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7E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67FAB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2E59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54E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A5E"/>
    <w:rsid w:val="007B0411"/>
    <w:rsid w:val="007B05E0"/>
    <w:rsid w:val="007B062B"/>
    <w:rsid w:val="007B0901"/>
    <w:rsid w:val="007B0F2B"/>
    <w:rsid w:val="007B1257"/>
    <w:rsid w:val="007B125E"/>
    <w:rsid w:val="007B14E0"/>
    <w:rsid w:val="007B191E"/>
    <w:rsid w:val="007B1C2B"/>
    <w:rsid w:val="007B238E"/>
    <w:rsid w:val="007B2536"/>
    <w:rsid w:val="007B307E"/>
    <w:rsid w:val="007B3C9C"/>
    <w:rsid w:val="007B42C9"/>
    <w:rsid w:val="007B47B2"/>
    <w:rsid w:val="007B56C9"/>
    <w:rsid w:val="007B6273"/>
    <w:rsid w:val="007B653E"/>
    <w:rsid w:val="007B66CD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48"/>
    <w:rsid w:val="007D6269"/>
    <w:rsid w:val="007D6399"/>
    <w:rsid w:val="007D688D"/>
    <w:rsid w:val="007D6D6D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BD9"/>
    <w:rsid w:val="007F3F77"/>
    <w:rsid w:val="007F40EA"/>
    <w:rsid w:val="007F44FA"/>
    <w:rsid w:val="007F5085"/>
    <w:rsid w:val="007F5338"/>
    <w:rsid w:val="007F5BC4"/>
    <w:rsid w:val="007F5F8C"/>
    <w:rsid w:val="007F77A8"/>
    <w:rsid w:val="008006F1"/>
    <w:rsid w:val="008016F2"/>
    <w:rsid w:val="0080193D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9F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841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7A4"/>
    <w:rsid w:val="0084482D"/>
    <w:rsid w:val="00844908"/>
    <w:rsid w:val="00845010"/>
    <w:rsid w:val="00845082"/>
    <w:rsid w:val="00845AB1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66D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21B"/>
    <w:rsid w:val="008805DD"/>
    <w:rsid w:val="00880753"/>
    <w:rsid w:val="0088110E"/>
    <w:rsid w:val="008816DB"/>
    <w:rsid w:val="0088195F"/>
    <w:rsid w:val="00881EB9"/>
    <w:rsid w:val="008821A1"/>
    <w:rsid w:val="00882307"/>
    <w:rsid w:val="00882789"/>
    <w:rsid w:val="008832FA"/>
    <w:rsid w:val="00883D9D"/>
    <w:rsid w:val="00883DC2"/>
    <w:rsid w:val="0088421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981"/>
    <w:rsid w:val="00887B18"/>
    <w:rsid w:val="00890118"/>
    <w:rsid w:val="008901B2"/>
    <w:rsid w:val="008909DE"/>
    <w:rsid w:val="00890A43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48B"/>
    <w:rsid w:val="008A5913"/>
    <w:rsid w:val="008A5953"/>
    <w:rsid w:val="008A5A89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2F2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1B09"/>
    <w:rsid w:val="008E2159"/>
    <w:rsid w:val="008E2242"/>
    <w:rsid w:val="008E22BA"/>
    <w:rsid w:val="008E295A"/>
    <w:rsid w:val="008E2AA2"/>
    <w:rsid w:val="008E2CCA"/>
    <w:rsid w:val="008E2D68"/>
    <w:rsid w:val="008E2FD8"/>
    <w:rsid w:val="008E3291"/>
    <w:rsid w:val="008E33D6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3E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1D01"/>
    <w:rsid w:val="00902097"/>
    <w:rsid w:val="009024F1"/>
    <w:rsid w:val="009028DF"/>
    <w:rsid w:val="00902C36"/>
    <w:rsid w:val="00902D67"/>
    <w:rsid w:val="00903BCD"/>
    <w:rsid w:val="00904A36"/>
    <w:rsid w:val="00905144"/>
    <w:rsid w:val="0090530E"/>
    <w:rsid w:val="00905412"/>
    <w:rsid w:val="0090556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441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CD1"/>
    <w:rsid w:val="00915DD7"/>
    <w:rsid w:val="00916280"/>
    <w:rsid w:val="00916311"/>
    <w:rsid w:val="0091665E"/>
    <w:rsid w:val="00916B86"/>
    <w:rsid w:val="00916D08"/>
    <w:rsid w:val="00916F3C"/>
    <w:rsid w:val="00917026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9E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A85"/>
    <w:rsid w:val="00940B0F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C29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7E6"/>
    <w:rsid w:val="009639F5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3B7"/>
    <w:rsid w:val="00996446"/>
    <w:rsid w:val="009969B5"/>
    <w:rsid w:val="00997013"/>
    <w:rsid w:val="009974D5"/>
    <w:rsid w:val="00997862"/>
    <w:rsid w:val="00997DF8"/>
    <w:rsid w:val="009A080D"/>
    <w:rsid w:val="009A0AE3"/>
    <w:rsid w:val="009A10E8"/>
    <w:rsid w:val="009A1262"/>
    <w:rsid w:val="009A183B"/>
    <w:rsid w:val="009A1963"/>
    <w:rsid w:val="009A1CB8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33E"/>
    <w:rsid w:val="009B456D"/>
    <w:rsid w:val="009B4E75"/>
    <w:rsid w:val="009B5890"/>
    <w:rsid w:val="009B5C1B"/>
    <w:rsid w:val="009B64B3"/>
    <w:rsid w:val="009B726E"/>
    <w:rsid w:val="009B74A4"/>
    <w:rsid w:val="009B76C8"/>
    <w:rsid w:val="009B7C2F"/>
    <w:rsid w:val="009C00C1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85A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918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5EA0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36B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69A"/>
    <w:rsid w:val="00A36708"/>
    <w:rsid w:val="00A40D5B"/>
    <w:rsid w:val="00A4101B"/>
    <w:rsid w:val="00A4202E"/>
    <w:rsid w:val="00A4218D"/>
    <w:rsid w:val="00A4221E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1FCA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141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0BA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3AE8"/>
    <w:rsid w:val="00A93BBA"/>
    <w:rsid w:val="00A93EE8"/>
    <w:rsid w:val="00A94691"/>
    <w:rsid w:val="00A94A31"/>
    <w:rsid w:val="00A94D59"/>
    <w:rsid w:val="00A95787"/>
    <w:rsid w:val="00A9610D"/>
    <w:rsid w:val="00A96B5D"/>
    <w:rsid w:val="00A96B90"/>
    <w:rsid w:val="00A96F42"/>
    <w:rsid w:val="00A9771D"/>
    <w:rsid w:val="00A97B4B"/>
    <w:rsid w:val="00AA0A0A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3FE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2FEF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BAB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952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3DA"/>
    <w:rsid w:val="00AE4E2B"/>
    <w:rsid w:val="00AE4FF4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2F11"/>
    <w:rsid w:val="00B13C39"/>
    <w:rsid w:val="00B13D41"/>
    <w:rsid w:val="00B13F07"/>
    <w:rsid w:val="00B1454E"/>
    <w:rsid w:val="00B14E10"/>
    <w:rsid w:val="00B1635E"/>
    <w:rsid w:val="00B170F7"/>
    <w:rsid w:val="00B172AE"/>
    <w:rsid w:val="00B175E1"/>
    <w:rsid w:val="00B17E17"/>
    <w:rsid w:val="00B2069F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B4"/>
    <w:rsid w:val="00B458DD"/>
    <w:rsid w:val="00B459C7"/>
    <w:rsid w:val="00B45AB4"/>
    <w:rsid w:val="00B45F74"/>
    <w:rsid w:val="00B46263"/>
    <w:rsid w:val="00B468CB"/>
    <w:rsid w:val="00B4722C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3FCF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B75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3FEC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6BA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3A8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B74E5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1B69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6C54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46F"/>
    <w:rsid w:val="00C02470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5530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0D20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3DA"/>
    <w:rsid w:val="00C16774"/>
    <w:rsid w:val="00C16AB7"/>
    <w:rsid w:val="00C16ED9"/>
    <w:rsid w:val="00C177A9"/>
    <w:rsid w:val="00C179F6"/>
    <w:rsid w:val="00C17FE6"/>
    <w:rsid w:val="00C20335"/>
    <w:rsid w:val="00C20572"/>
    <w:rsid w:val="00C2091A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182"/>
    <w:rsid w:val="00C25216"/>
    <w:rsid w:val="00C25D2F"/>
    <w:rsid w:val="00C26755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3EE7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787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6F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789"/>
    <w:rsid w:val="00C76BDB"/>
    <w:rsid w:val="00C76D0F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CCF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DBB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B7F0D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94"/>
    <w:rsid w:val="00CD3FB2"/>
    <w:rsid w:val="00CD4020"/>
    <w:rsid w:val="00CD448F"/>
    <w:rsid w:val="00CD4491"/>
    <w:rsid w:val="00CD472B"/>
    <w:rsid w:val="00CD4F91"/>
    <w:rsid w:val="00CD5A74"/>
    <w:rsid w:val="00CD5B45"/>
    <w:rsid w:val="00CD6056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C78"/>
    <w:rsid w:val="00CE3F8A"/>
    <w:rsid w:val="00CE4079"/>
    <w:rsid w:val="00CE4A82"/>
    <w:rsid w:val="00CE4EF3"/>
    <w:rsid w:val="00CE4F5B"/>
    <w:rsid w:val="00CE5421"/>
    <w:rsid w:val="00CE5703"/>
    <w:rsid w:val="00CE59B2"/>
    <w:rsid w:val="00CE5AFC"/>
    <w:rsid w:val="00CE5B66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10F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3C2"/>
    <w:rsid w:val="00D21428"/>
    <w:rsid w:val="00D227A9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5DEA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AD7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054F"/>
    <w:rsid w:val="00D91FC8"/>
    <w:rsid w:val="00D9273E"/>
    <w:rsid w:val="00D927EB"/>
    <w:rsid w:val="00D935DE"/>
    <w:rsid w:val="00D93D21"/>
    <w:rsid w:val="00D94185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B7FAE"/>
    <w:rsid w:val="00DC0312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045"/>
    <w:rsid w:val="00DE03DF"/>
    <w:rsid w:val="00DE06FB"/>
    <w:rsid w:val="00DE07D0"/>
    <w:rsid w:val="00DE0F64"/>
    <w:rsid w:val="00DE1018"/>
    <w:rsid w:val="00DE2304"/>
    <w:rsid w:val="00DE2B08"/>
    <w:rsid w:val="00DE323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F4"/>
    <w:rsid w:val="00DF3634"/>
    <w:rsid w:val="00DF4109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988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ABF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6CD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D48"/>
    <w:rsid w:val="00E26FA7"/>
    <w:rsid w:val="00E27454"/>
    <w:rsid w:val="00E275BF"/>
    <w:rsid w:val="00E279D0"/>
    <w:rsid w:val="00E27CE1"/>
    <w:rsid w:val="00E27E13"/>
    <w:rsid w:val="00E3107E"/>
    <w:rsid w:val="00E31589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DD6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5846"/>
    <w:rsid w:val="00E66DBA"/>
    <w:rsid w:val="00E70279"/>
    <w:rsid w:val="00E70B54"/>
    <w:rsid w:val="00E70C1C"/>
    <w:rsid w:val="00E70F3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F21"/>
    <w:rsid w:val="00E90765"/>
    <w:rsid w:val="00E90821"/>
    <w:rsid w:val="00E91098"/>
    <w:rsid w:val="00E91253"/>
    <w:rsid w:val="00E914DD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1BA9"/>
    <w:rsid w:val="00EA2258"/>
    <w:rsid w:val="00EA2F87"/>
    <w:rsid w:val="00EA30A2"/>
    <w:rsid w:val="00EA3122"/>
    <w:rsid w:val="00EA3845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21B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5B71"/>
    <w:rsid w:val="00F06569"/>
    <w:rsid w:val="00F066BF"/>
    <w:rsid w:val="00F06D8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178F0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65A"/>
    <w:rsid w:val="00F2488B"/>
    <w:rsid w:val="00F24F71"/>
    <w:rsid w:val="00F253A0"/>
    <w:rsid w:val="00F25571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5A8"/>
    <w:rsid w:val="00F32A3F"/>
    <w:rsid w:val="00F3348D"/>
    <w:rsid w:val="00F34A4A"/>
    <w:rsid w:val="00F34DA9"/>
    <w:rsid w:val="00F34F3A"/>
    <w:rsid w:val="00F35B6A"/>
    <w:rsid w:val="00F35C29"/>
    <w:rsid w:val="00F36155"/>
    <w:rsid w:val="00F36413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E05"/>
    <w:rsid w:val="00F46F09"/>
    <w:rsid w:val="00F46F72"/>
    <w:rsid w:val="00F46FB9"/>
    <w:rsid w:val="00F4704F"/>
    <w:rsid w:val="00F47107"/>
    <w:rsid w:val="00F4722D"/>
    <w:rsid w:val="00F47C83"/>
    <w:rsid w:val="00F505E1"/>
    <w:rsid w:val="00F5129E"/>
    <w:rsid w:val="00F51B63"/>
    <w:rsid w:val="00F531AA"/>
    <w:rsid w:val="00F533A1"/>
    <w:rsid w:val="00F53BA7"/>
    <w:rsid w:val="00F549B4"/>
    <w:rsid w:val="00F54EC5"/>
    <w:rsid w:val="00F55EB6"/>
    <w:rsid w:val="00F55EFF"/>
    <w:rsid w:val="00F56016"/>
    <w:rsid w:val="00F56714"/>
    <w:rsid w:val="00F567E3"/>
    <w:rsid w:val="00F567F5"/>
    <w:rsid w:val="00F56AFA"/>
    <w:rsid w:val="00F570E6"/>
    <w:rsid w:val="00F57347"/>
    <w:rsid w:val="00F57929"/>
    <w:rsid w:val="00F57992"/>
    <w:rsid w:val="00F57F5C"/>
    <w:rsid w:val="00F6010A"/>
    <w:rsid w:val="00F60144"/>
    <w:rsid w:val="00F60653"/>
    <w:rsid w:val="00F6068F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0E2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0E41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77D"/>
    <w:rsid w:val="00F83BF3"/>
    <w:rsid w:val="00F83D42"/>
    <w:rsid w:val="00F83FB1"/>
    <w:rsid w:val="00F8432C"/>
    <w:rsid w:val="00F8443A"/>
    <w:rsid w:val="00F848C9"/>
    <w:rsid w:val="00F84C9B"/>
    <w:rsid w:val="00F854B6"/>
    <w:rsid w:val="00F85EE0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C64"/>
    <w:rsid w:val="00FA0DB9"/>
    <w:rsid w:val="00FA0F20"/>
    <w:rsid w:val="00FA1050"/>
    <w:rsid w:val="00FA153B"/>
    <w:rsid w:val="00FA1A4C"/>
    <w:rsid w:val="00FA1FE1"/>
    <w:rsid w:val="00FA22A2"/>
    <w:rsid w:val="00FA2666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81C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BB0"/>
    <w:rsid w:val="00FD1E44"/>
    <w:rsid w:val="00FD1EEA"/>
    <w:rsid w:val="00FD213D"/>
    <w:rsid w:val="00FD28F3"/>
    <w:rsid w:val="00FD2BA7"/>
    <w:rsid w:val="00FD2E3E"/>
    <w:rsid w:val="00FD3878"/>
    <w:rsid w:val="00FD4170"/>
    <w:rsid w:val="00FD46E2"/>
    <w:rsid w:val="00FD4EF0"/>
    <w:rsid w:val="00FD4F4D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4DE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BC6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3A8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17264F6"/>
    <w:rsid w:val="026553AD"/>
    <w:rsid w:val="0356125E"/>
    <w:rsid w:val="038D13C7"/>
    <w:rsid w:val="043A58AB"/>
    <w:rsid w:val="048A1C70"/>
    <w:rsid w:val="049C3AD5"/>
    <w:rsid w:val="04AF3E80"/>
    <w:rsid w:val="061F6C01"/>
    <w:rsid w:val="0620091D"/>
    <w:rsid w:val="062F62AF"/>
    <w:rsid w:val="06CA7932"/>
    <w:rsid w:val="06E62535"/>
    <w:rsid w:val="070002A7"/>
    <w:rsid w:val="077C1411"/>
    <w:rsid w:val="07815BFF"/>
    <w:rsid w:val="081F0DE8"/>
    <w:rsid w:val="082A02ED"/>
    <w:rsid w:val="08696156"/>
    <w:rsid w:val="087C4EF9"/>
    <w:rsid w:val="099B54B4"/>
    <w:rsid w:val="09F303AF"/>
    <w:rsid w:val="0A3B0786"/>
    <w:rsid w:val="0A405571"/>
    <w:rsid w:val="0AFB6F8D"/>
    <w:rsid w:val="0B123BC4"/>
    <w:rsid w:val="0B48567B"/>
    <w:rsid w:val="0C031150"/>
    <w:rsid w:val="0E0F2590"/>
    <w:rsid w:val="0E40223A"/>
    <w:rsid w:val="0EE74838"/>
    <w:rsid w:val="0FD91B34"/>
    <w:rsid w:val="106F4ED8"/>
    <w:rsid w:val="11677F10"/>
    <w:rsid w:val="11BB3910"/>
    <w:rsid w:val="11E7300D"/>
    <w:rsid w:val="121769BF"/>
    <w:rsid w:val="12A40DAF"/>
    <w:rsid w:val="132C5366"/>
    <w:rsid w:val="1357122A"/>
    <w:rsid w:val="14095135"/>
    <w:rsid w:val="14F41582"/>
    <w:rsid w:val="15684BB0"/>
    <w:rsid w:val="16E01E1A"/>
    <w:rsid w:val="17173A55"/>
    <w:rsid w:val="1744345F"/>
    <w:rsid w:val="1769421D"/>
    <w:rsid w:val="179A47FF"/>
    <w:rsid w:val="17B929AE"/>
    <w:rsid w:val="180401FA"/>
    <w:rsid w:val="180A4855"/>
    <w:rsid w:val="185111A4"/>
    <w:rsid w:val="195448E3"/>
    <w:rsid w:val="19A85AA6"/>
    <w:rsid w:val="19EA6BAE"/>
    <w:rsid w:val="1B0D39DF"/>
    <w:rsid w:val="1B581F69"/>
    <w:rsid w:val="1BF31B8E"/>
    <w:rsid w:val="1CA41DF6"/>
    <w:rsid w:val="1CFA3475"/>
    <w:rsid w:val="1E611F29"/>
    <w:rsid w:val="1EB26218"/>
    <w:rsid w:val="1F510D7B"/>
    <w:rsid w:val="1FE62FE2"/>
    <w:rsid w:val="20D22409"/>
    <w:rsid w:val="2286600C"/>
    <w:rsid w:val="23B07237"/>
    <w:rsid w:val="23D04D07"/>
    <w:rsid w:val="24231158"/>
    <w:rsid w:val="2477265B"/>
    <w:rsid w:val="249806A6"/>
    <w:rsid w:val="25E672AF"/>
    <w:rsid w:val="25FA71A7"/>
    <w:rsid w:val="29D96DE6"/>
    <w:rsid w:val="2A017181"/>
    <w:rsid w:val="2A096906"/>
    <w:rsid w:val="2A852E16"/>
    <w:rsid w:val="2B935F8B"/>
    <w:rsid w:val="2C7D36A6"/>
    <w:rsid w:val="2D275BA3"/>
    <w:rsid w:val="2D2937A4"/>
    <w:rsid w:val="2DA12880"/>
    <w:rsid w:val="2DE60FE9"/>
    <w:rsid w:val="2E3F5130"/>
    <w:rsid w:val="2EA436B8"/>
    <w:rsid w:val="2F435E75"/>
    <w:rsid w:val="30E278B7"/>
    <w:rsid w:val="30F731BF"/>
    <w:rsid w:val="316C4699"/>
    <w:rsid w:val="31D5300E"/>
    <w:rsid w:val="32074AE8"/>
    <w:rsid w:val="32452C35"/>
    <w:rsid w:val="32852BB9"/>
    <w:rsid w:val="335812CC"/>
    <w:rsid w:val="33625746"/>
    <w:rsid w:val="344C1AB1"/>
    <w:rsid w:val="34842458"/>
    <w:rsid w:val="348D1EBF"/>
    <w:rsid w:val="34AD46FA"/>
    <w:rsid w:val="34FF4619"/>
    <w:rsid w:val="355E7EBE"/>
    <w:rsid w:val="35D85D9C"/>
    <w:rsid w:val="38F05713"/>
    <w:rsid w:val="3A947EA8"/>
    <w:rsid w:val="3A99673A"/>
    <w:rsid w:val="3D240DAA"/>
    <w:rsid w:val="3E0317B2"/>
    <w:rsid w:val="3E0456CC"/>
    <w:rsid w:val="3E5B3A27"/>
    <w:rsid w:val="3E8D080A"/>
    <w:rsid w:val="3FA125F1"/>
    <w:rsid w:val="40731C07"/>
    <w:rsid w:val="419926B2"/>
    <w:rsid w:val="41A86B47"/>
    <w:rsid w:val="41F22847"/>
    <w:rsid w:val="4272131F"/>
    <w:rsid w:val="427B5BFE"/>
    <w:rsid w:val="43B92166"/>
    <w:rsid w:val="46EB3CE3"/>
    <w:rsid w:val="483702F5"/>
    <w:rsid w:val="48DF3E68"/>
    <w:rsid w:val="496124C9"/>
    <w:rsid w:val="4981416D"/>
    <w:rsid w:val="49F70D7E"/>
    <w:rsid w:val="4B2374AE"/>
    <w:rsid w:val="4D554104"/>
    <w:rsid w:val="4E4D00C9"/>
    <w:rsid w:val="4EDF5C92"/>
    <w:rsid w:val="50062CBA"/>
    <w:rsid w:val="529918CE"/>
    <w:rsid w:val="543D4952"/>
    <w:rsid w:val="547728AF"/>
    <w:rsid w:val="549A20E2"/>
    <w:rsid w:val="560739EF"/>
    <w:rsid w:val="568E39EC"/>
    <w:rsid w:val="569B70A9"/>
    <w:rsid w:val="56CD7822"/>
    <w:rsid w:val="57116BC1"/>
    <w:rsid w:val="57B1507D"/>
    <w:rsid w:val="580435EA"/>
    <w:rsid w:val="580E6663"/>
    <w:rsid w:val="58597EAB"/>
    <w:rsid w:val="59483156"/>
    <w:rsid w:val="59EB7D63"/>
    <w:rsid w:val="59F32604"/>
    <w:rsid w:val="5AAC31E8"/>
    <w:rsid w:val="5B676E56"/>
    <w:rsid w:val="5B8B4179"/>
    <w:rsid w:val="5BB77C14"/>
    <w:rsid w:val="5C376DA8"/>
    <w:rsid w:val="5C69496B"/>
    <w:rsid w:val="5D904821"/>
    <w:rsid w:val="5E123B5A"/>
    <w:rsid w:val="5E511501"/>
    <w:rsid w:val="5EC02F59"/>
    <w:rsid w:val="5EC13142"/>
    <w:rsid w:val="5EFE064F"/>
    <w:rsid w:val="60CF13EE"/>
    <w:rsid w:val="62084CF3"/>
    <w:rsid w:val="62AA085A"/>
    <w:rsid w:val="657B3C25"/>
    <w:rsid w:val="65E359B8"/>
    <w:rsid w:val="65E868EF"/>
    <w:rsid w:val="66C83DD1"/>
    <w:rsid w:val="69067CBE"/>
    <w:rsid w:val="6A0A1799"/>
    <w:rsid w:val="6B2E4316"/>
    <w:rsid w:val="6BE55234"/>
    <w:rsid w:val="6DD225CB"/>
    <w:rsid w:val="6DD63CD1"/>
    <w:rsid w:val="6F0942B2"/>
    <w:rsid w:val="6F117429"/>
    <w:rsid w:val="6F1D1524"/>
    <w:rsid w:val="6FFC4D49"/>
    <w:rsid w:val="704D029C"/>
    <w:rsid w:val="70ED1816"/>
    <w:rsid w:val="72431F7D"/>
    <w:rsid w:val="72713655"/>
    <w:rsid w:val="729B686F"/>
    <w:rsid w:val="731629DD"/>
    <w:rsid w:val="73703706"/>
    <w:rsid w:val="766671EE"/>
    <w:rsid w:val="767C72BC"/>
    <w:rsid w:val="786A0485"/>
    <w:rsid w:val="78B804CC"/>
    <w:rsid w:val="799727D8"/>
    <w:rsid w:val="7A79519C"/>
    <w:rsid w:val="7AD51A33"/>
    <w:rsid w:val="7ADD4010"/>
    <w:rsid w:val="7B311EAC"/>
    <w:rsid w:val="7BBA65DF"/>
    <w:rsid w:val="7C36041D"/>
    <w:rsid w:val="7C42596D"/>
    <w:rsid w:val="7CD1297B"/>
    <w:rsid w:val="7F06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7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8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9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40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1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2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3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basedOn w:val="1"/>
    <w:next w:val="1"/>
    <w:link w:val="46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7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9"/>
    <w:unhideWhenUsed/>
    <w:qFormat/>
    <w:uiPriority w:val="0"/>
  </w:style>
  <w:style w:type="paragraph" w:styleId="13">
    <w:name w:val="Body Text"/>
    <w:basedOn w:val="1"/>
    <w:link w:val="86"/>
    <w:qFormat/>
    <w:uiPriority w:val="0"/>
    <w:pPr>
      <w:spacing w:after="120"/>
      <w:jc w:val="both"/>
    </w:pPr>
    <w:rPr>
      <w:rFonts w:eastAsia="MS Mincho"/>
      <w:sz w:val="20"/>
      <w:lang w:val="zh-CN" w:eastAsia="en-US"/>
    </w:rPr>
  </w:style>
  <w:style w:type="paragraph" w:styleId="14">
    <w:name w:val="Balloon Text"/>
    <w:basedOn w:val="1"/>
    <w:link w:val="47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5">
    <w:name w:val="foot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6">
    <w:name w:val="header"/>
    <w:basedOn w:val="1"/>
    <w:link w:val="25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7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9">
    <w:name w:val="annotation subject"/>
    <w:basedOn w:val="12"/>
    <w:next w:val="12"/>
    <w:link w:val="50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1">
    <w:name w:val="Table Grid"/>
    <w:basedOn w:val="20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Hyperlink"/>
    <w:qFormat/>
    <w:uiPriority w:val="0"/>
    <w:rPr>
      <w:rFonts w:cs="Times New Roman"/>
      <w:color w:val="0000FF"/>
      <w:u w:val="single"/>
    </w:rPr>
  </w:style>
  <w:style w:type="character" w:styleId="24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5">
    <w:name w:val="页眉 字符"/>
    <w:link w:val="16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6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7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8">
    <w:name w:val="TAC"/>
    <w:basedOn w:val="29"/>
    <w:link w:val="30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paragraph" w:customStyle="1" w:styleId="29">
    <w:name w:val="TAL"/>
    <w:basedOn w:val="1"/>
    <w:link w:val="58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30">
    <w:name w:val="TAC Char"/>
    <w:link w:val="28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1">
    <w:name w:val="TH"/>
    <w:basedOn w:val="1"/>
    <w:link w:val="32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2">
    <w:name w:val="TH Char"/>
    <w:link w:val="31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3">
    <w:name w:val="TAH"/>
    <w:basedOn w:val="28"/>
    <w:link w:val="34"/>
    <w:qFormat/>
    <w:uiPriority w:val="99"/>
    <w:rPr>
      <w:b/>
      <w:bCs/>
    </w:rPr>
  </w:style>
  <w:style w:type="character" w:customStyle="1" w:styleId="34">
    <w:name w:val="TAH Car"/>
    <w:link w:val="33"/>
    <w:qFormat/>
    <w:uiPriority w:val="99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5">
    <w:name w:val="TAN"/>
    <w:basedOn w:val="1"/>
    <w:link w:val="36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6">
    <w:name w:val="TAN Char"/>
    <w:link w:val="35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7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8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9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40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1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2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3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4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5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6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7">
    <w:name w:val="批注框文本 字符"/>
    <w:link w:val="14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8">
    <w:name w:val="页脚 字符"/>
    <w:link w:val="15"/>
    <w:qFormat/>
    <w:uiPriority w:val="99"/>
    <w:rPr>
      <w:sz w:val="18"/>
      <w:szCs w:val="18"/>
    </w:rPr>
  </w:style>
  <w:style w:type="character" w:customStyle="1" w:styleId="49">
    <w:name w:val="批注文字 字符"/>
    <w:basedOn w:val="22"/>
    <w:link w:val="12"/>
    <w:qFormat/>
    <w:uiPriority w:val="0"/>
  </w:style>
  <w:style w:type="character" w:customStyle="1" w:styleId="50">
    <w:name w:val="批注主题 字符"/>
    <w:link w:val="19"/>
    <w:semiHidden/>
    <w:qFormat/>
    <w:uiPriority w:val="99"/>
    <w:rPr>
      <w:b/>
      <w:bCs/>
    </w:rPr>
  </w:style>
  <w:style w:type="paragraph" w:customStyle="1" w:styleId="51">
    <w:name w:val="B1"/>
    <w:basedOn w:val="17"/>
    <w:link w:val="52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2">
    <w:name w:val="B1 Char1"/>
    <w:link w:val="5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3">
    <w:name w:val="B1 Char"/>
    <w:qFormat/>
    <w:locked/>
    <w:uiPriority w:val="0"/>
    <w:rPr>
      <w:lang w:val="en-GB"/>
    </w:rPr>
  </w:style>
  <w:style w:type="paragraph" w:customStyle="1" w:styleId="54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5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6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7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8">
    <w:name w:val="TAL Car"/>
    <w:link w:val="29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9">
    <w:name w:val="中等深浅网格 1 - 着色 21"/>
    <w:basedOn w:val="1"/>
    <w:link w:val="60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60">
    <w:name w:val="中等深浅网格 1 - 着色 2 字符"/>
    <w:link w:val="59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1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3">
    <w:name w:val="Doc-title"/>
    <w:basedOn w:val="1"/>
    <w:next w:val="64"/>
    <w:link w:val="66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4">
    <w:name w:val="Doc-text2"/>
    <w:basedOn w:val="1"/>
    <w:link w:val="6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5">
    <w:name w:val="Doc-text2 Char"/>
    <w:link w:val="64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6">
    <w:name w:val="Doc-title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7">
    <w:name w:val="EmailDiscussion2"/>
    <w:basedOn w:val="64"/>
    <w:qFormat/>
    <w:uiPriority w:val="0"/>
  </w:style>
  <w:style w:type="paragraph" w:customStyle="1" w:styleId="68">
    <w:name w:val="H6"/>
    <w:basedOn w:val="6"/>
    <w:next w:val="1"/>
    <w:link w:val="69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9">
    <w:name w:val="H6 Char"/>
    <w:link w:val="68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70">
    <w:name w:val="NO"/>
    <w:basedOn w:val="1"/>
    <w:link w:val="7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1">
    <w:name w:val="NO Char1"/>
    <w:link w:val="70"/>
    <w:qFormat/>
    <w:uiPriority w:val="0"/>
    <w:rPr>
      <w:rFonts w:ascii="Times New Roman" w:hAnsi="Times New Roman" w:eastAsia="Times New Roman"/>
      <w:lang w:val="en-GB"/>
    </w:rPr>
  </w:style>
  <w:style w:type="character" w:customStyle="1" w:styleId="72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3">
    <w:name w:val="CR Cover Page"/>
    <w:link w:val="74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4">
    <w:name w:val="CR Cover Page Char"/>
    <w:link w:val="73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5">
    <w:name w:val="List Paragraph"/>
    <w:basedOn w:val="1"/>
    <w:link w:val="76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6">
    <w:name w:val="列表段落 字符"/>
    <w:link w:val="75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7">
    <w:name w:val="Revision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79">
    <w:name w:val="Placeholder Text"/>
    <w:basedOn w:val="22"/>
    <w:unhideWhenUsed/>
    <w:qFormat/>
    <w:uiPriority w:val="99"/>
    <w:rPr>
      <w:color w:val="808080"/>
    </w:rPr>
  </w:style>
  <w:style w:type="paragraph" w:customStyle="1" w:styleId="80">
    <w:name w:val="PL"/>
    <w:link w:val="8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1">
    <w:name w:val="PL Char"/>
    <w:link w:val="80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2">
    <w:name w:val="Proposal"/>
    <w:basedOn w:val="13"/>
    <w:link w:val="83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/>
      <w:bCs/>
      <w:sz w:val="20"/>
      <w:szCs w:val="20"/>
      <w:lang w:val="en-GB"/>
    </w:rPr>
  </w:style>
  <w:style w:type="character" w:customStyle="1" w:styleId="83">
    <w:name w:val="Proposal Char"/>
    <w:link w:val="82"/>
    <w:qFormat/>
    <w:uiPriority w:val="0"/>
    <w:rPr>
      <w:rFonts w:ascii="Arial" w:hAnsi="Arial" w:eastAsia="宋体"/>
      <w:b/>
      <w:bCs/>
      <w:lang w:val="en-GB"/>
    </w:rPr>
  </w:style>
  <w:style w:type="character" w:customStyle="1" w:styleId="84">
    <w:name w:val="normaltextrun"/>
    <w:basedOn w:val="22"/>
    <w:qFormat/>
    <w:uiPriority w:val="0"/>
  </w:style>
  <w:style w:type="character" w:customStyle="1" w:styleId="85">
    <w:name w:val="正文文本 字符"/>
    <w:basedOn w:val="22"/>
    <w:semiHidden/>
    <w:qFormat/>
    <w:uiPriority w:val="99"/>
    <w:rPr>
      <w:rFonts w:ascii="Times New Roman" w:hAnsi="Times New Roman"/>
      <w:sz w:val="24"/>
      <w:szCs w:val="24"/>
    </w:rPr>
  </w:style>
  <w:style w:type="character" w:customStyle="1" w:styleId="86">
    <w:name w:val="正文文本 字符1"/>
    <w:link w:val="13"/>
    <w:qFormat/>
    <w:uiPriority w:val="0"/>
    <w:rPr>
      <w:rFonts w:ascii="Times New Roman" w:hAnsi="Times New Roman" w:eastAsia="MS Mincho"/>
      <w:szCs w:val="24"/>
      <w:lang w:val="zh-CN" w:eastAsia="en-US"/>
    </w:rPr>
  </w:style>
  <w:style w:type="paragraph" w:customStyle="1" w:styleId="87">
    <w:name w:val="cjk"/>
    <w:basedOn w:val="1"/>
    <w:qFormat/>
    <w:uiPriority w:val="0"/>
    <w:pPr>
      <w:spacing w:before="100" w:beforeAutospacing="1" w:after="181"/>
    </w:pPr>
    <w:rPr>
      <w:rFonts w:eastAsia="Times New Roman"/>
      <w:sz w:val="24"/>
      <w:szCs w:val="24"/>
      <w:lang w:val="en-US" w:eastAsia="zh-CN"/>
    </w:rPr>
  </w:style>
  <w:style w:type="paragraph" w:customStyle="1" w:styleId="88">
    <w:name w:val="Agreement"/>
    <w:basedOn w:val="1"/>
    <w:next w:val="64"/>
    <w:qFormat/>
    <w:uiPriority w:val="99"/>
    <w:pPr>
      <w:numPr>
        <w:ilvl w:val="0"/>
        <w:numId w:val="3"/>
      </w:numPr>
      <w:spacing w:before="6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791</Words>
  <Characters>3547</Characters>
  <Lines>85</Lines>
  <Paragraphs>24</Paragraphs>
  <TotalTime>2</TotalTime>
  <ScaleCrop>false</ScaleCrop>
  <LinksUpToDate>false</LinksUpToDate>
  <CharactersWithSpaces>4165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2024-10-06T10:26:27Z</dcterms:modified>
  <cp:revision>176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F61112A40FB1461AA46DAAB2A278F284</vt:lpwstr>
  </property>
</Properties>
</file>